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25" w:rsidRPr="00965925" w:rsidRDefault="00965925" w:rsidP="00965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5925">
        <w:rPr>
          <w:rFonts w:ascii="Calibri" w:eastAsia="Times New Roman" w:hAnsi="Calibri" w:cs="Times New Roman"/>
          <w:b/>
          <w:bCs/>
          <w:sz w:val="36"/>
          <w:szCs w:val="36"/>
          <w:lang w:eastAsia="tr-TR"/>
        </w:rPr>
        <w:t>Course Information/</w:t>
      </w:r>
      <w:proofErr w:type="spellStart"/>
      <w:r w:rsidRPr="00965925">
        <w:rPr>
          <w:rFonts w:ascii="Calibri" w:eastAsia="Times New Roman" w:hAnsi="Calibri" w:cs="Times New Roman"/>
          <w:b/>
          <w:bCs/>
          <w:sz w:val="36"/>
          <w:szCs w:val="36"/>
          <w:lang w:eastAsia="tr-TR"/>
        </w:rPr>
        <w:t>Syllabus</w:t>
      </w:r>
      <w:proofErr w:type="spellEnd"/>
      <w:r w:rsidRPr="00965925">
        <w:rPr>
          <w:rFonts w:ascii="Calibri" w:eastAsia="Times New Roman" w:hAnsi="Calibri" w:cs="Times New Roman"/>
          <w:b/>
          <w:bCs/>
          <w:sz w:val="36"/>
          <w:szCs w:val="36"/>
          <w:lang w:eastAsia="tr-TR"/>
        </w:rPr>
        <w:t>- Ders Tanıtım Bilgisi Örnek</w:t>
      </w: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965925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>Önemli Notlar:</w:t>
      </w: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965925">
        <w:rPr>
          <w:rFonts w:ascii="Arial" w:eastAsia="Times New Roman" w:hAnsi="Arial" w:cs="Arial"/>
          <w:color w:val="222222"/>
          <w:sz w:val="28"/>
          <w:szCs w:val="28"/>
          <w:lang w:eastAsia="tr-TR"/>
        </w:rPr>
        <w:t xml:space="preserve">Eğitim Bilgi Sisteminde derslerimize ait bilgiler (İNGİLİZCE-TÜRKÇE) bundan böyle sadece </w:t>
      </w:r>
      <w:proofErr w:type="spellStart"/>
      <w:r w:rsidRPr="00965925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Erasmus</w:t>
      </w:r>
      <w:proofErr w:type="spellEnd"/>
      <w:r w:rsidRPr="00965925">
        <w:rPr>
          <w:rFonts w:ascii="Arial" w:eastAsia="Times New Roman" w:hAnsi="Arial" w:cs="Arial"/>
          <w:color w:val="222222"/>
          <w:sz w:val="28"/>
          <w:szCs w:val="28"/>
          <w:lang w:eastAsia="tr-TR"/>
        </w:rPr>
        <w:t xml:space="preserve"> değişim/Hareketlilik programlarında değil aynı zamanda </w:t>
      </w:r>
      <w:proofErr w:type="spellStart"/>
      <w:r w:rsidRPr="00965925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uluslararasılaşma</w:t>
      </w:r>
      <w:proofErr w:type="spellEnd"/>
      <w:r w:rsidRPr="00965925">
        <w:rPr>
          <w:rFonts w:ascii="Arial" w:eastAsia="Times New Roman" w:hAnsi="Arial" w:cs="Arial"/>
          <w:color w:val="222222"/>
          <w:sz w:val="28"/>
          <w:szCs w:val="28"/>
          <w:lang w:eastAsia="tr-TR"/>
        </w:rPr>
        <w:t xml:space="preserve"> bağlamında Yükseköğretim Kurulunca başlatılan Mevlana Değişim programında da üniversitemize gelecek öğrencilere yol gösterici olacağından aşağıdaki konulara dikkat edilerek bilgilerin girilmesi önem taşımaktadır:</w:t>
      </w: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965925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1. Ders tanıtım bilgilerinin girişinde bazı dersler için ilgili alanlara kes yapıştır ile bazen aynı bilgilerin girildiği görülmüştür. </w:t>
      </w: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7455"/>
      </w:tblGrid>
      <w:tr w:rsidR="00965925" w:rsidRPr="00965925" w:rsidTr="00965925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96592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Laying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hens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husbandry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and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egg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science</w:t>
            </w:r>
            <w:proofErr w:type="spellEnd"/>
          </w:p>
        </w:tc>
      </w:tr>
      <w:tr w:rsidR="00965925" w:rsidRPr="00965925" w:rsidTr="00965925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6592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Course Content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Laying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hens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husbandry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and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egg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science</w:t>
            </w:r>
            <w:proofErr w:type="spellEnd"/>
          </w:p>
        </w:tc>
      </w:tr>
    </w:tbl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965925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Ya da </w:t>
      </w:r>
      <w:proofErr w:type="spellStart"/>
      <w:r w:rsidRPr="00965925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google</w:t>
      </w:r>
      <w:proofErr w:type="spellEnd"/>
      <w:r w:rsidRPr="00965925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965925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translation</w:t>
      </w:r>
      <w:proofErr w:type="spellEnd"/>
      <w:r w:rsidRPr="00965925"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kullanıldığı</w:t>
      </w: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965925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Örnek dersin amacı için</w:t>
      </w: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Introduction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to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Education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course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,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the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first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step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lessons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teaching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profession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.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The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main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objective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of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this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course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is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for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this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reason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that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the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importance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of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education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and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teaching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about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the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historical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development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of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human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expression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to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inform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teacher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candidates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.</w:t>
      </w: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965925">
        <w:rPr>
          <w:rFonts w:ascii="Arial TUR" w:eastAsia="Times New Roman" w:hAnsi="Arial TUR" w:cs="Arial TUR"/>
          <w:color w:val="666666"/>
          <w:sz w:val="28"/>
          <w:szCs w:val="28"/>
          <w:lang w:eastAsia="tr-TR"/>
        </w:rPr>
        <w:t xml:space="preserve">2. Ders öğrenme kazanımlarının (Course Learning </w:t>
      </w:r>
      <w:proofErr w:type="spellStart"/>
      <w:r w:rsidRPr="00965925">
        <w:rPr>
          <w:rFonts w:ascii="Arial TUR" w:eastAsia="Times New Roman" w:hAnsi="Arial TUR" w:cs="Arial TUR"/>
          <w:color w:val="666666"/>
          <w:sz w:val="28"/>
          <w:szCs w:val="28"/>
          <w:lang w:eastAsia="tr-TR"/>
        </w:rPr>
        <w:t>outcomes</w:t>
      </w:r>
      <w:proofErr w:type="spellEnd"/>
      <w:r w:rsidRPr="00965925">
        <w:rPr>
          <w:rFonts w:ascii="Arial TUR" w:eastAsia="Times New Roman" w:hAnsi="Arial TUR" w:cs="Arial TUR"/>
          <w:color w:val="666666"/>
          <w:sz w:val="28"/>
          <w:szCs w:val="28"/>
          <w:lang w:eastAsia="tr-TR"/>
        </w:rPr>
        <w:t>) sizlere gönderilen örneklere göre yazılması ve İngilizceleri kontrol edildikten sonra sisteme girilmesi gerekmektedir.</w:t>
      </w: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965925">
        <w:rPr>
          <w:rFonts w:ascii="Arial TUR" w:eastAsia="Times New Roman" w:hAnsi="Arial TUR" w:cs="Arial TUR"/>
          <w:color w:val="FF0000"/>
          <w:sz w:val="18"/>
          <w:szCs w:val="18"/>
          <w:lang w:eastAsia="tr-TR"/>
        </w:rPr>
        <w:t>uygun olmayan dil hataları içeren örnekler</w:t>
      </w:r>
      <w:proofErr w:type="gramStart"/>
      <w:r w:rsidRPr="00965925">
        <w:rPr>
          <w:rFonts w:ascii="Arial TUR" w:eastAsia="Times New Roman" w:hAnsi="Arial TUR" w:cs="Arial TUR"/>
          <w:color w:val="FF0000"/>
          <w:sz w:val="18"/>
          <w:szCs w:val="18"/>
          <w:lang w:eastAsia="tr-TR"/>
        </w:rPr>
        <w:t>:</w:t>
      </w:r>
      <w:r w:rsidRPr="00965925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t>.</w:t>
      </w:r>
      <w:proofErr w:type="gramEnd"/>
      <w:r w:rsidRPr="00965925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t xml:space="preserve">  </w:t>
      </w: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7455"/>
      </w:tblGrid>
      <w:tr w:rsidR="00965925" w:rsidRPr="00965925" w:rsidTr="00965925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6592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96592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1)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Students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will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be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able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to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describe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usual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management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theoretical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and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practices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for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laying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hens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and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egg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science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. </w:t>
            </w:r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br/>
              <w:t xml:space="preserve">2) Knowledge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about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proper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egg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laying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hen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breeds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br/>
              <w:t xml:space="preserve">3)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Applying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feding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techniques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egg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laying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hens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breeding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br/>
              <w:t xml:space="preserve">4)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Applying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proper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methods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determination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egg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quality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br/>
              <w:t xml:space="preserve">5)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Applying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proper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methods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determination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egg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products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quality</w:t>
            </w:r>
            <w:proofErr w:type="spellEnd"/>
          </w:p>
        </w:tc>
      </w:tr>
    </w:tbl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proofErr w:type="gram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bir</w:t>
      </w:r>
      <w:proofErr w:type="gram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başka örnek</w:t>
      </w: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1)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Upon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the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successful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completition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of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the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course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the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student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will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be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able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to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explain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the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definition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of "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profession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". </w:t>
      </w:r>
      <w:r w:rsidRPr="00965925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2)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Lists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basic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properties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of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education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. </w:t>
      </w:r>
      <w:r w:rsidRPr="00965925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3)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Defines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the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terms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related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to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classroom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management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and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school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environment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. </w:t>
      </w:r>
      <w:r w:rsidRPr="00965925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4)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Explains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social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and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politic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base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of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education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. </w:t>
      </w:r>
      <w:r w:rsidRPr="00965925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5)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Explains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the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relationship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between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educational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sciences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and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som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other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fields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. </w:t>
      </w:r>
      <w:r w:rsidRPr="00965925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6)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Have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a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knowlede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of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Turkish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educational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system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and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its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general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features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and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provide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examples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for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them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. </w:t>
      </w:r>
      <w:r w:rsidRPr="00965925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7)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Compare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and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contrast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alternative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viewpoints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to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 xml:space="preserve">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education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shd w:val="clear" w:color="auto" w:fill="F5F5F5"/>
          <w:lang w:eastAsia="tr-TR"/>
        </w:rPr>
        <w:t>.</w:t>
      </w: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965925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t xml:space="preserve">Örnek arada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t>türkçe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t xml:space="preserve"> kelimelere de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t>raslanmaktadır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t xml:space="preserve"> Google </w:t>
      </w:r>
      <w:proofErr w:type="spellStart"/>
      <w:r w:rsidRPr="00965925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t>translation</w:t>
      </w:r>
      <w:proofErr w:type="spellEnd"/>
      <w:r w:rsidRPr="00965925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t xml:space="preserve"> nedeniyle</w:t>
      </w: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7455"/>
      </w:tblGrid>
      <w:tr w:rsidR="00965925" w:rsidRPr="00965925" w:rsidTr="00965925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6592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96592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1)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don't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follow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the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developments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related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to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the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class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management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br/>
              <w:t xml:space="preserve">2)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According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to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the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students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'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development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levels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and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the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ability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to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apply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the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class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management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br/>
              <w:t xml:space="preserve">3)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classroom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management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and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discipline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the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relationship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between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the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concept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of saptayabilme </w:t>
            </w:r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br/>
              <w:t xml:space="preserve">4) be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open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to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learning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for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life </w:t>
            </w:r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br/>
            </w:r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lastRenderedPageBreak/>
              <w:t xml:space="preserve">5)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the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ability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to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use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modern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methods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students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'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developmental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levels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br/>
              <w:t xml:space="preserve">6)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the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ability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to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use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modern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methods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students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'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developmental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levels</w:t>
            </w:r>
            <w:proofErr w:type="spellEnd"/>
            <w:proofErr w:type="gramEnd"/>
          </w:p>
        </w:tc>
      </w:tr>
    </w:tbl>
    <w:p w:rsidR="00965925" w:rsidRPr="00965925" w:rsidRDefault="00965925" w:rsidP="00965925">
      <w:pPr>
        <w:pBdr>
          <w:bottom w:val="single" w:sz="6" w:space="6" w:color="EEEEEE"/>
        </w:pBdr>
        <w:shd w:val="clear" w:color="auto" w:fill="FFFFFF"/>
        <w:spacing w:after="150" w:line="240" w:lineRule="auto"/>
        <w:outlineLvl w:val="5"/>
        <w:rPr>
          <w:rFonts w:ascii="Arial TUR" w:eastAsia="Times New Roman" w:hAnsi="Arial TUR" w:cs="Arial TUR"/>
          <w:caps/>
          <w:color w:val="666666"/>
          <w:sz w:val="21"/>
          <w:szCs w:val="21"/>
          <w:lang w:eastAsia="tr-TR"/>
        </w:rPr>
      </w:pP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965925">
        <w:rPr>
          <w:rFonts w:ascii="Arial TUR" w:eastAsia="Times New Roman" w:hAnsi="Arial TUR" w:cs="Arial TUR"/>
          <w:color w:val="666666"/>
          <w:sz w:val="28"/>
          <w:szCs w:val="28"/>
          <w:lang w:eastAsia="tr-TR"/>
        </w:rPr>
        <w:t xml:space="preserve">3. Haftalık ders akışının  16 hafta üzerinden yapılması gerekmektedir. Halen bazı dersler 7-14 hafta arası görünmektedir. Son iki hafta için "Final </w:t>
      </w:r>
      <w:proofErr w:type="spellStart"/>
      <w:r w:rsidRPr="00965925">
        <w:rPr>
          <w:rFonts w:ascii="Arial TUR" w:eastAsia="Times New Roman" w:hAnsi="Arial TUR" w:cs="Arial TUR"/>
          <w:color w:val="666666"/>
          <w:sz w:val="28"/>
          <w:szCs w:val="28"/>
          <w:lang w:eastAsia="tr-TR"/>
        </w:rPr>
        <w:t>exam</w:t>
      </w:r>
      <w:proofErr w:type="spellEnd"/>
      <w:r w:rsidRPr="00965925">
        <w:rPr>
          <w:rFonts w:ascii="Arial TUR" w:eastAsia="Times New Roman" w:hAnsi="Arial TUR" w:cs="Arial TUR"/>
          <w:color w:val="666666"/>
          <w:sz w:val="28"/>
          <w:szCs w:val="28"/>
          <w:lang w:eastAsia="tr-TR"/>
        </w:rPr>
        <w:t xml:space="preserve">" yazabilirsiniz. </w:t>
      </w:r>
      <w:proofErr w:type="gramStart"/>
      <w:r w:rsidRPr="00965925">
        <w:rPr>
          <w:rFonts w:ascii="Arial TUR" w:eastAsia="Times New Roman" w:hAnsi="Arial TUR" w:cs="Arial TUR"/>
          <w:color w:val="666666"/>
          <w:sz w:val="28"/>
          <w:szCs w:val="28"/>
          <w:lang w:eastAsia="tr-TR"/>
        </w:rPr>
        <w:t>isterseniz</w:t>
      </w:r>
      <w:proofErr w:type="gramEnd"/>
      <w:r w:rsidRPr="00965925">
        <w:rPr>
          <w:rFonts w:ascii="Arial TUR" w:eastAsia="Times New Roman" w:hAnsi="Arial TUR" w:cs="Arial TUR"/>
          <w:color w:val="666666"/>
          <w:sz w:val="28"/>
          <w:szCs w:val="28"/>
          <w:lang w:eastAsia="tr-TR"/>
        </w:rPr>
        <w:t xml:space="preserve"> 15. hafta için "General </w:t>
      </w:r>
      <w:proofErr w:type="spellStart"/>
      <w:r w:rsidRPr="00965925">
        <w:rPr>
          <w:rFonts w:ascii="Arial TUR" w:eastAsia="Times New Roman" w:hAnsi="Arial TUR" w:cs="Arial TUR"/>
          <w:color w:val="666666"/>
          <w:sz w:val="28"/>
          <w:szCs w:val="28"/>
          <w:lang w:eastAsia="tr-TR"/>
        </w:rPr>
        <w:t>review</w:t>
      </w:r>
      <w:proofErr w:type="spellEnd"/>
      <w:r w:rsidRPr="00965925">
        <w:rPr>
          <w:rFonts w:ascii="Arial TUR" w:eastAsia="Times New Roman" w:hAnsi="Arial TUR" w:cs="Arial TUR"/>
          <w:color w:val="666666"/>
          <w:sz w:val="28"/>
          <w:szCs w:val="28"/>
          <w:lang w:eastAsia="tr-TR"/>
        </w:rPr>
        <w:t>" de yazılabilir.</w:t>
      </w: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965925">
        <w:rPr>
          <w:rFonts w:ascii="Arial TUR" w:eastAsia="Times New Roman" w:hAnsi="Arial TUR" w:cs="Arial TUR"/>
          <w:color w:val="666666"/>
          <w:sz w:val="28"/>
          <w:szCs w:val="28"/>
          <w:lang w:eastAsia="tr-TR"/>
        </w:rPr>
        <w:t>4. Kaynaklar/</w:t>
      </w:r>
      <w:proofErr w:type="spellStart"/>
      <w:r w:rsidRPr="00965925">
        <w:rPr>
          <w:rFonts w:ascii="Arial TUR" w:eastAsia="Times New Roman" w:hAnsi="Arial TUR" w:cs="Arial TUR"/>
          <w:color w:val="666666"/>
          <w:sz w:val="28"/>
          <w:szCs w:val="28"/>
          <w:lang w:eastAsia="tr-TR"/>
        </w:rPr>
        <w:t>Resources</w:t>
      </w:r>
      <w:proofErr w:type="spellEnd"/>
      <w:r w:rsidRPr="00965925">
        <w:rPr>
          <w:rFonts w:ascii="Arial TUR" w:eastAsia="Times New Roman" w:hAnsi="Arial TUR" w:cs="Arial TUR"/>
          <w:color w:val="666666"/>
          <w:sz w:val="28"/>
          <w:szCs w:val="28"/>
          <w:lang w:eastAsia="tr-TR"/>
        </w:rPr>
        <w:t xml:space="preserve"> kısmında yeterli kaynakça olmadığı veya bir iki kaynakla geçiştirildiği ve kaynakla ilgili bazen yazar adı, yayın tarihi yeri ve yayın evi gibi temel bilgilerin verilmediği görülmektedir. </w:t>
      </w: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965925">
        <w:rPr>
          <w:rFonts w:ascii="Arial TUR" w:eastAsia="Times New Roman" w:hAnsi="Arial TUR" w:cs="Arial TUR"/>
          <w:color w:val="666666"/>
          <w:sz w:val="28"/>
          <w:szCs w:val="28"/>
          <w:lang w:eastAsia="tr-TR"/>
        </w:rPr>
        <w:t>5. Ölçme ve değerlendirmede şeffaflık ilkesi açısından varsa öğrencilere verdiğimiz sınav dışı çalışmaların da (araştırma, ödev, sunum/seminer, alan çalışması gibi) ara sınava katkı oranının(%?) belirtilmesi gerekmektedir. Ancak bu konu da eksiklikler bulunmaktadır. </w:t>
      </w: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965925">
        <w:rPr>
          <w:rFonts w:ascii="Arial TUR" w:eastAsia="Times New Roman" w:hAnsi="Arial TUR" w:cs="Arial TUR"/>
          <w:color w:val="666666"/>
          <w:sz w:val="28"/>
          <w:szCs w:val="28"/>
          <w:lang w:eastAsia="tr-TR"/>
        </w:rPr>
        <w:t xml:space="preserve">6. Ders öğrenme kazanımlarının her bir program çıktısına katkısına ilişkin değerlerin tek tek girilmesi gerekirken </w:t>
      </w:r>
      <w:proofErr w:type="spellStart"/>
      <w:r w:rsidRPr="00965925">
        <w:rPr>
          <w:rFonts w:ascii="Arial TUR" w:eastAsia="Times New Roman" w:hAnsi="Arial TUR" w:cs="Arial TUR"/>
          <w:color w:val="666666"/>
          <w:sz w:val="28"/>
          <w:szCs w:val="28"/>
          <w:lang w:eastAsia="tr-TR"/>
        </w:rPr>
        <w:t>ContributionLevel</w:t>
      </w:r>
      <w:proofErr w:type="spellEnd"/>
      <w:r w:rsidRPr="00965925">
        <w:rPr>
          <w:rFonts w:ascii="Arial TUR" w:eastAsia="Times New Roman" w:hAnsi="Arial TUR" w:cs="Arial TUR"/>
          <w:color w:val="666666"/>
          <w:sz w:val="28"/>
          <w:szCs w:val="28"/>
          <w:lang w:eastAsia="tr-TR"/>
        </w:rPr>
        <w:t>/Katkı Düzeyi genel tek bir  sayı ile verilmiş </w:t>
      </w: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965925" w:rsidRPr="00965925" w:rsidRDefault="00965925" w:rsidP="00965925">
      <w:pPr>
        <w:pBdr>
          <w:bottom w:val="single" w:sz="6" w:space="6" w:color="EEEEEE"/>
        </w:pBdr>
        <w:shd w:val="clear" w:color="auto" w:fill="FFFFFF"/>
        <w:spacing w:after="150" w:line="240" w:lineRule="auto"/>
        <w:outlineLvl w:val="5"/>
        <w:rPr>
          <w:rFonts w:ascii="Arial TUR" w:eastAsia="Times New Roman" w:hAnsi="Arial TUR" w:cs="Arial TUR"/>
          <w:caps/>
          <w:color w:val="666666"/>
          <w:sz w:val="21"/>
          <w:szCs w:val="21"/>
          <w:lang w:eastAsia="tr-TR"/>
        </w:rPr>
      </w:pPr>
    </w:p>
    <w:p w:rsidR="00965925" w:rsidRPr="00965925" w:rsidRDefault="00965925" w:rsidP="00965925">
      <w:pPr>
        <w:pBdr>
          <w:bottom w:val="single" w:sz="6" w:space="6" w:color="EEEEEE"/>
        </w:pBdr>
        <w:shd w:val="clear" w:color="auto" w:fill="FFFFFF"/>
        <w:spacing w:after="150" w:line="240" w:lineRule="auto"/>
        <w:outlineLvl w:val="5"/>
        <w:rPr>
          <w:rFonts w:ascii="Arial TUR" w:eastAsia="Times New Roman" w:hAnsi="Arial TUR" w:cs="Arial TUR"/>
          <w:caps/>
          <w:color w:val="666666"/>
          <w:sz w:val="21"/>
          <w:szCs w:val="21"/>
          <w:lang w:eastAsia="tr-TR"/>
        </w:rPr>
      </w:pPr>
      <w:r w:rsidRPr="00965925">
        <w:rPr>
          <w:rFonts w:ascii="Arial TUR" w:eastAsia="Times New Roman" w:hAnsi="Arial TUR" w:cs="Arial TUR"/>
          <w:caps/>
          <w:color w:val="666666"/>
          <w:sz w:val="21"/>
          <w:szCs w:val="21"/>
          <w:lang w:eastAsia="tr-TR"/>
        </w:rPr>
        <w:t>CONTRIBUTION OF COURSE LEARNING OUTCOMES TO PROGRAMME OUTCOMES</w:t>
      </w:r>
    </w:p>
    <w:tbl>
      <w:tblPr>
        <w:tblW w:w="10170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1631"/>
        <w:gridCol w:w="631"/>
        <w:gridCol w:w="631"/>
        <w:gridCol w:w="631"/>
        <w:gridCol w:w="631"/>
        <w:gridCol w:w="631"/>
        <w:gridCol w:w="631"/>
        <w:gridCol w:w="631"/>
        <w:gridCol w:w="631"/>
        <w:gridCol w:w="1740"/>
      </w:tblGrid>
      <w:tr w:rsidR="00965925" w:rsidRPr="00965925" w:rsidTr="00965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Program </w:t>
            </w:r>
            <w:proofErr w:type="spellStart"/>
            <w:r w:rsidRPr="00965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Requirements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965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Contribution</w:t>
            </w:r>
            <w:proofErr w:type="spellEnd"/>
            <w:r w:rsidRPr="00965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Level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96592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  <w:t>DK1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96592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  <w:t>DK2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96592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  <w:t>DK3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96592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  <w:t>DK4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96592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  <w:t>DK5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96592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  <w:t>DK6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96592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  <w:t>DK7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96592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  <w:t>DK8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965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Measurement</w:t>
            </w:r>
            <w:proofErr w:type="spellEnd"/>
            <w:r w:rsidRPr="00965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Method</w:t>
            </w:r>
            <w:proofErr w:type="spellEnd"/>
          </w:p>
        </w:tc>
      </w:tr>
      <w:tr w:rsidR="00965925" w:rsidRPr="00965925" w:rsidTr="00965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PY1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965925" w:rsidRPr="00965925" w:rsidTr="00965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PY2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965925" w:rsidRPr="00965925" w:rsidTr="00965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PY3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965925" w:rsidRPr="00965925" w:rsidTr="00965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PY4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965925" w:rsidRPr="00965925" w:rsidTr="00965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PY5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2" w:space="0" w:color="EEEEEE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965925" w:rsidRPr="00965925" w:rsidTr="00965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PY6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965925" w:rsidRPr="00965925" w:rsidTr="00965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PY7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965925" w:rsidRPr="00965925" w:rsidTr="00965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PY8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965925" w:rsidRPr="00965925" w:rsidTr="00965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PY9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965925" w:rsidRPr="00965925" w:rsidTr="00965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lastRenderedPageBreak/>
              <w:t>PY10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965925" w:rsidRPr="00965925" w:rsidTr="00965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PY11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965925" w:rsidRPr="00965925" w:rsidTr="00965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PY12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965925" w:rsidRPr="00965925" w:rsidTr="00965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PY13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965925" w:rsidRPr="00965925" w:rsidTr="00965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PY14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965925" w:rsidRPr="00965925" w:rsidTr="00965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PY15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6592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</w:tbl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proofErr w:type="gramStart"/>
      <w:r w:rsidRPr="00965925">
        <w:rPr>
          <w:rFonts w:ascii="Arial TUR" w:eastAsia="Times New Roman" w:hAnsi="Arial TUR" w:cs="Arial TUR"/>
          <w:color w:val="666666"/>
          <w:sz w:val="28"/>
          <w:szCs w:val="28"/>
          <w:lang w:eastAsia="tr-TR"/>
        </w:rPr>
        <w:t>ya</w:t>
      </w:r>
      <w:proofErr w:type="gramEnd"/>
      <w:r w:rsidRPr="00965925">
        <w:rPr>
          <w:rFonts w:ascii="Arial TUR" w:eastAsia="Times New Roman" w:hAnsi="Arial TUR" w:cs="Arial TUR"/>
          <w:color w:val="666666"/>
          <w:sz w:val="28"/>
          <w:szCs w:val="28"/>
          <w:lang w:eastAsia="tr-TR"/>
        </w:rPr>
        <w:t xml:space="preserve"> da çoğunlukla boş bırakılmış</w:t>
      </w: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965925">
        <w:rPr>
          <w:rFonts w:ascii="Arial TUR" w:eastAsia="Times New Roman" w:hAnsi="Arial TUR" w:cs="Arial TUR"/>
          <w:color w:val="666666"/>
          <w:sz w:val="28"/>
          <w:szCs w:val="28"/>
          <w:lang w:eastAsia="tr-TR"/>
        </w:rPr>
        <w:t>Bu kısma sağlıklı bilgi girişi için program çıktılarının ECTS koordinatörleri tarafından eksiksiz  ve doğru girilmesi gerekir. Bu konuda ECTS Koordinatörlerine bilgi verildi.</w:t>
      </w: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>
        <w:rPr>
          <w:rFonts w:ascii="Arial TUR" w:eastAsia="Times New Roman" w:hAnsi="Arial TUR" w:cs="Arial TUR"/>
          <w:color w:val="666666"/>
          <w:sz w:val="28"/>
          <w:szCs w:val="28"/>
          <w:lang w:eastAsia="tr-TR"/>
        </w:rPr>
        <w:t>7</w:t>
      </w:r>
      <w:r w:rsidRPr="00965925">
        <w:rPr>
          <w:rFonts w:ascii="Arial TUR" w:eastAsia="Times New Roman" w:hAnsi="Arial TUR" w:cs="Arial TUR"/>
          <w:color w:val="666666"/>
          <w:sz w:val="28"/>
          <w:szCs w:val="28"/>
          <w:lang w:eastAsia="tr-TR"/>
        </w:rPr>
        <w:t>. Dersin AKTS iş yükün de de haftalık ders saatinin iş yükü için  fiilen ders yapılan 14  hafta X haftalık ders saati olarak girilmesi gerekmektedir. Ayrıca iş yüklerinde sayısal tutarsızlıklar da göze çarpmaktadır. Makul sayılar olması gerekir.  Örneğin aldığımız değerlendirmede final sınavına hazırlık için bir hocamızın 1 saat yazması eleştirilmişti 1 saatte finale hazırlanmak akla uygun gelmediği için. Bazı öğretim elemanlarının ilk kutucuğa verdiği iş sayısını girmesi gerekirken buraya saati yazdığı bunlar da anlamsız görüntü oluşturmaktadır.  </w:t>
      </w: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965925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t>İ</w:t>
      </w:r>
      <w:r w:rsidRPr="00965925">
        <w:rPr>
          <w:rFonts w:ascii="Arial TUR" w:eastAsia="Times New Roman" w:hAnsi="Arial TUR" w:cs="Arial TUR"/>
          <w:color w:val="FF0000"/>
          <w:sz w:val="18"/>
          <w:szCs w:val="18"/>
          <w:lang w:eastAsia="tr-TR"/>
        </w:rPr>
        <w:t>ki sorunun bir arada yaşandığı Örnek</w:t>
      </w: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965925">
        <w:rPr>
          <w:rFonts w:ascii="Arial TUR" w:eastAsia="Times New Roman" w:hAnsi="Arial TUR" w:cs="Arial TUR"/>
          <w:caps/>
          <w:color w:val="548DD4"/>
          <w:sz w:val="21"/>
          <w:szCs w:val="21"/>
          <w:lang w:eastAsia="tr-TR"/>
        </w:rPr>
        <w:t>ECTS CREDITS AND COURSE WORKLOAD</w:t>
      </w: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4"/>
        <w:gridCol w:w="896"/>
        <w:gridCol w:w="1500"/>
        <w:gridCol w:w="1950"/>
      </w:tblGrid>
      <w:tr w:rsidR="00965925" w:rsidRPr="00965925" w:rsidTr="00965925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96592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Event</w:t>
            </w:r>
            <w:proofErr w:type="spellEnd"/>
          </w:p>
        </w:tc>
        <w:tc>
          <w:tcPr>
            <w:tcW w:w="60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96592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150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96592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Duration</w:t>
            </w:r>
            <w:proofErr w:type="spellEnd"/>
            <w:r w:rsidRPr="0096592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96592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Hour</w:t>
            </w:r>
            <w:proofErr w:type="spellEnd"/>
            <w:r w:rsidRPr="0096592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950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6592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96592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Workload</w:t>
            </w:r>
            <w:proofErr w:type="spellEnd"/>
            <w:r w:rsidRPr="0096592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96592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Hour</w:t>
            </w:r>
            <w:proofErr w:type="spellEnd"/>
            <w:r w:rsidRPr="0096592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)</w:t>
            </w:r>
          </w:p>
        </w:tc>
      </w:tr>
      <w:tr w:rsidR="00965925" w:rsidRPr="00965925" w:rsidTr="00965925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</w:t>
            </w:r>
          </w:p>
        </w:tc>
      </w:tr>
      <w:tr w:rsidR="00965925" w:rsidRPr="00965925" w:rsidTr="00965925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6592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Presentation/</w:t>
            </w:r>
            <w:proofErr w:type="spellStart"/>
            <w:r w:rsidRPr="0096592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Seminar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6592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6592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16</w:t>
            </w:r>
          </w:p>
        </w:tc>
      </w:tr>
      <w:tr w:rsidR="00965925" w:rsidRPr="00965925" w:rsidTr="00965925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Class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Hours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(16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weeks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including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exams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32</w:t>
            </w:r>
          </w:p>
        </w:tc>
      </w:tr>
      <w:tr w:rsidR="00965925" w:rsidRPr="00965925" w:rsidTr="00965925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Mid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Term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Exam</w:t>
            </w:r>
            <w:proofErr w:type="spellEnd"/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</w:t>
            </w:r>
          </w:p>
        </w:tc>
      </w:tr>
      <w:tr w:rsidR="00965925" w:rsidRPr="00965925" w:rsidTr="00965925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6592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96592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Exam</w:t>
            </w:r>
            <w:proofErr w:type="spellEnd"/>
            <w:r w:rsidRPr="0096592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6592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Preparation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6592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6592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</w:t>
            </w:r>
          </w:p>
        </w:tc>
      </w:tr>
      <w:tr w:rsidR="00965925" w:rsidRPr="00965925" w:rsidTr="00965925">
        <w:trPr>
          <w:tblCellSpacing w:w="0" w:type="dxa"/>
        </w:trPr>
        <w:tc>
          <w:tcPr>
            <w:tcW w:w="2715" w:type="dxa"/>
            <w:gridSpan w:val="3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6592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96592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Workload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51</w:t>
            </w:r>
          </w:p>
        </w:tc>
      </w:tr>
      <w:tr w:rsidR="00965925" w:rsidRPr="00965925" w:rsidTr="00965925">
        <w:trPr>
          <w:tblCellSpacing w:w="0" w:type="dxa"/>
        </w:trPr>
        <w:tc>
          <w:tcPr>
            <w:tcW w:w="2715" w:type="dxa"/>
            <w:gridSpan w:val="3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6592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96592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Workload</w:t>
            </w:r>
            <w:proofErr w:type="spellEnd"/>
            <w:r w:rsidRPr="0096592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96592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25.5</w:t>
            </w:r>
            <w:proofErr w:type="gramEnd"/>
            <w:r w:rsidRPr="0096592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2.00</w:t>
            </w:r>
          </w:p>
        </w:tc>
      </w:tr>
      <w:tr w:rsidR="00965925" w:rsidRPr="00965925" w:rsidTr="00965925">
        <w:trPr>
          <w:tblCellSpacing w:w="0" w:type="dxa"/>
        </w:trPr>
        <w:tc>
          <w:tcPr>
            <w:tcW w:w="2715" w:type="dxa"/>
            <w:gridSpan w:val="3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96592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96592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Credit</w:t>
            </w:r>
            <w:proofErr w:type="spellEnd"/>
            <w:r w:rsidRPr="0096592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96592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the</w:t>
            </w:r>
            <w:proofErr w:type="spellEnd"/>
            <w:r w:rsidRPr="0096592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965925" w:rsidRPr="00965925" w:rsidRDefault="00965925" w:rsidP="009659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6592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</w:tbl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965925" w:rsidRPr="00965925" w:rsidRDefault="00965925" w:rsidP="00965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C81A98" w:rsidRDefault="00C81A98">
      <w:bookmarkStart w:id="0" w:name="_GoBack"/>
      <w:bookmarkEnd w:id="0"/>
    </w:p>
    <w:sectPr w:rsidR="00C8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B9"/>
    <w:rsid w:val="00965925"/>
    <w:rsid w:val="00C81A98"/>
    <w:rsid w:val="00D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link w:val="Balk6Char"/>
    <w:uiPriority w:val="9"/>
    <w:qFormat/>
    <w:rsid w:val="0096592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965925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styleId="Gl">
    <w:name w:val="Strong"/>
    <w:basedOn w:val="VarsaylanParagrafYazTipi"/>
    <w:uiPriority w:val="22"/>
    <w:qFormat/>
    <w:rsid w:val="009659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link w:val="Balk6Char"/>
    <w:uiPriority w:val="9"/>
    <w:qFormat/>
    <w:rsid w:val="0096592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965925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styleId="Gl">
    <w:name w:val="Strong"/>
    <w:basedOn w:val="VarsaylanParagrafYazTipi"/>
    <w:uiPriority w:val="22"/>
    <w:qFormat/>
    <w:rsid w:val="00965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34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7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5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0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6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6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4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2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2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7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8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37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86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7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13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1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6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68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80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4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30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7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8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70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8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63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2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97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76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7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8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1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36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1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6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50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1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1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85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12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8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Dinçay Köksal</dc:creator>
  <cp:keywords/>
  <dc:description/>
  <cp:lastModifiedBy>Dinçay Köksal</cp:lastModifiedBy>
  <cp:revision>2</cp:revision>
  <dcterms:created xsi:type="dcterms:W3CDTF">2013-05-13T21:12:00Z</dcterms:created>
  <dcterms:modified xsi:type="dcterms:W3CDTF">2013-05-13T21:15:00Z</dcterms:modified>
</cp:coreProperties>
</file>