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5" w:rsidRPr="00E316E5" w:rsidRDefault="00E316E5" w:rsidP="00E316E5">
      <w:pPr>
        <w:keepLine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6E5">
        <w:rPr>
          <w:rFonts w:ascii="Times New Roman" w:hAnsi="Times New Roman" w:cs="Times New Roman"/>
          <w:b/>
          <w:sz w:val="24"/>
          <w:szCs w:val="24"/>
          <w:u w:val="single"/>
        </w:rPr>
        <w:t>Maden Mühendisliği Yüksek Lisans Program Çıktısı</w:t>
      </w:r>
    </w:p>
    <w:tbl>
      <w:tblPr>
        <w:tblW w:w="9854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9434"/>
      </w:tblGrid>
      <w:tr w:rsidR="00E316E5" w:rsidRPr="00E316E5" w:rsidTr="00E316E5">
        <w:trPr>
          <w:trHeight w:val="195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Matematik, fen ve mühendislik bilgilerini uygulama becerisi.</w:t>
            </w:r>
          </w:p>
        </w:tc>
      </w:tr>
      <w:tr w:rsidR="00E316E5" w:rsidRPr="00E316E5" w:rsidTr="00E316E5">
        <w:trPr>
          <w:trHeight w:val="21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Deney tasarlama, deney yapma, deney sonuçlarını analiz etme ve yorumlama becerisi.</w:t>
            </w:r>
          </w:p>
        </w:tc>
      </w:tr>
      <w:tr w:rsidR="00E316E5" w:rsidRPr="00E316E5" w:rsidTr="00E316E5">
        <w:trPr>
          <w:trHeight w:val="21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Disiplinler arası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takmlarda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çalışabilme becerisi.</w:t>
            </w:r>
          </w:p>
        </w:tc>
      </w:tr>
      <w:tr w:rsidR="00E316E5" w:rsidRPr="00E316E5" w:rsidTr="00E316E5">
        <w:trPr>
          <w:trHeight w:val="21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Mühendislik problemlerini tanımlama, formüle etme ve çözme becerisi.</w:t>
            </w:r>
          </w:p>
        </w:tc>
      </w:tr>
      <w:tr w:rsidR="00E316E5" w:rsidRPr="00E316E5" w:rsidTr="00E316E5">
        <w:trPr>
          <w:trHeight w:val="21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Yaşam boyu öğrenmenin gerekliliği bilinci.</w:t>
            </w:r>
            <w:proofErr w:type="gramEnd"/>
          </w:p>
        </w:tc>
      </w:tr>
      <w:tr w:rsidR="00E316E5" w:rsidRPr="00E316E5" w:rsidTr="00E316E5">
        <w:trPr>
          <w:trHeight w:val="21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Mühendislik uygulamaları için gerekli olan teknikleri, yetenekleri ve modern araçları kullanma becerisi.</w:t>
            </w:r>
          </w:p>
        </w:tc>
      </w:tr>
      <w:tr w:rsidR="00E316E5" w:rsidRPr="00E316E5" w:rsidTr="00E316E5">
        <w:trPr>
          <w:trHeight w:val="42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Maden yüksek mühendisliği bilgisine sahip sektörün ihtiyaç, beklenti ve sorunlarına cevap verebilecek, ülke öz kaynaklarını milli menfaatler doğrultusunda kullanmayı ilke edinmiş mezunlar yetiştirmek.</w:t>
            </w:r>
          </w:p>
        </w:tc>
      </w:tr>
      <w:tr w:rsidR="00E316E5" w:rsidRPr="00E316E5" w:rsidTr="00E316E5">
        <w:trPr>
          <w:trHeight w:val="21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Değişen koşullara uyum sağlama becerisi.</w:t>
            </w:r>
          </w:p>
        </w:tc>
      </w:tr>
      <w:tr w:rsidR="00E316E5" w:rsidRPr="00E316E5" w:rsidTr="00E316E5">
        <w:trPr>
          <w:trHeight w:val="42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Gerek madencilik ve gerekse diğer mühendislik sektörlerinde karşımıza çıkabilecek değişik konularda yeterli donanıma sahip yüksek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mühendislrin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yetiştirilmesi.</w:t>
            </w:r>
          </w:p>
        </w:tc>
      </w:tr>
      <w:tr w:rsidR="00E316E5" w:rsidRPr="00E316E5" w:rsidTr="00E316E5">
        <w:trPr>
          <w:trHeight w:val="21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Mühendislik alanında nitelikli ve kapsamlı bilgiye sahip yüksek mühendislerin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yetiştirlmesi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E5" w:rsidRPr="00E316E5" w:rsidTr="00E316E5">
        <w:trPr>
          <w:trHeight w:val="21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Maden yüksek mühendisleri için meslek ile ilgili bilgilerin öğrenilmesi.</w:t>
            </w:r>
          </w:p>
        </w:tc>
      </w:tr>
    </w:tbl>
    <w:p w:rsidR="00E316E5" w:rsidRPr="0018115B" w:rsidRDefault="00E316E5" w:rsidP="00E316E5">
      <w:pPr>
        <w:keepLines/>
        <w:spacing w:line="360" w:lineRule="auto"/>
        <w:jc w:val="center"/>
        <w:rPr>
          <w:b/>
        </w:rPr>
      </w:pPr>
    </w:p>
    <w:p w:rsidR="00000000" w:rsidRDefault="00E316E5"/>
    <w:p w:rsidR="00E316E5" w:rsidRDefault="00E316E5" w:rsidP="00E316E5">
      <w:pPr>
        <w:spacing w:line="360" w:lineRule="auto"/>
        <w:jc w:val="both"/>
        <w:rPr>
          <w:b/>
          <w:u w:val="single"/>
        </w:rPr>
      </w:pPr>
    </w:p>
    <w:p w:rsidR="00E316E5" w:rsidRDefault="00E316E5" w:rsidP="00E316E5">
      <w:pPr>
        <w:spacing w:line="360" w:lineRule="auto"/>
        <w:jc w:val="both"/>
        <w:rPr>
          <w:b/>
          <w:u w:val="single"/>
        </w:rPr>
      </w:pPr>
    </w:p>
    <w:p w:rsidR="00E316E5" w:rsidRDefault="00E316E5" w:rsidP="00E316E5">
      <w:pPr>
        <w:spacing w:line="360" w:lineRule="auto"/>
        <w:jc w:val="both"/>
        <w:rPr>
          <w:b/>
          <w:u w:val="single"/>
        </w:rPr>
      </w:pPr>
    </w:p>
    <w:p w:rsidR="00E316E5" w:rsidRDefault="00E316E5" w:rsidP="00E316E5">
      <w:pPr>
        <w:spacing w:line="360" w:lineRule="auto"/>
        <w:jc w:val="both"/>
        <w:rPr>
          <w:b/>
          <w:u w:val="single"/>
        </w:rPr>
      </w:pPr>
    </w:p>
    <w:p w:rsidR="00E316E5" w:rsidRDefault="00E316E5" w:rsidP="00E316E5">
      <w:pPr>
        <w:spacing w:line="360" w:lineRule="auto"/>
        <w:jc w:val="both"/>
        <w:rPr>
          <w:b/>
          <w:u w:val="single"/>
        </w:rPr>
      </w:pPr>
    </w:p>
    <w:p w:rsidR="00E316E5" w:rsidRPr="00E316E5" w:rsidRDefault="00E316E5" w:rsidP="00E316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E316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Mining</w:t>
      </w:r>
      <w:proofErr w:type="spellEnd"/>
      <w:r w:rsidRPr="00E31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E316E5">
        <w:rPr>
          <w:rFonts w:ascii="Times New Roman" w:hAnsi="Times New Roman" w:cs="Times New Roman"/>
          <w:b/>
          <w:sz w:val="24"/>
          <w:szCs w:val="24"/>
          <w:u w:val="single"/>
        </w:rPr>
        <w:t>Engineering</w:t>
      </w:r>
      <w:proofErr w:type="spellEnd"/>
      <w:proofErr w:type="gramEnd"/>
      <w:r w:rsidRPr="00E31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16E5">
        <w:rPr>
          <w:rFonts w:ascii="Times New Roman" w:hAnsi="Times New Roman" w:cs="Times New Roman"/>
          <w:b/>
          <w:sz w:val="24"/>
          <w:szCs w:val="24"/>
          <w:u w:val="single"/>
        </w:rPr>
        <w:t>Graduate</w:t>
      </w:r>
      <w:proofErr w:type="spellEnd"/>
      <w:r w:rsidRPr="00E31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 </w:t>
      </w:r>
      <w:proofErr w:type="spellStart"/>
      <w:r w:rsidRPr="00E316E5">
        <w:rPr>
          <w:rFonts w:ascii="Times New Roman" w:hAnsi="Times New Roman" w:cs="Times New Roman"/>
          <w:b/>
          <w:sz w:val="24"/>
          <w:szCs w:val="24"/>
          <w:u w:val="single"/>
        </w:rPr>
        <w:t>Outcomes</w:t>
      </w:r>
      <w:proofErr w:type="spellEnd"/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9750"/>
      </w:tblGrid>
      <w:tr w:rsidR="00E316E5" w:rsidRPr="00E316E5" w:rsidTr="00E316E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E5" w:rsidRPr="00E316E5" w:rsidTr="00E316E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Designing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conducting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analyzing</w:t>
            </w:r>
            <w:proofErr w:type="spellEnd"/>
            <w:proofErr w:type="gram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E5" w:rsidRPr="00E316E5" w:rsidTr="00E316E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interdisciplinary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E5" w:rsidRPr="00E316E5" w:rsidTr="00E316E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formulation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E5" w:rsidRPr="00E316E5" w:rsidTr="00E316E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Being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aware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necessity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lifelong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E5" w:rsidRPr="00E316E5" w:rsidTr="00E316E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E5" w:rsidRPr="00E316E5" w:rsidTr="00E316E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Educating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training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graduates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interests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industry's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needs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expectations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responding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E5" w:rsidRPr="00E316E5" w:rsidTr="00E316E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adapt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changing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E5" w:rsidRPr="00E316E5" w:rsidTr="00E316E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master's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trained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overcome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issues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sectors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E5" w:rsidRPr="00E316E5" w:rsidTr="00E316E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fields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skilled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qualified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extensive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thinking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master's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engineer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graduating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E5" w:rsidRPr="00E316E5" w:rsidTr="00E316E5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E316E5" w:rsidRPr="00E316E5" w:rsidRDefault="00E316E5" w:rsidP="00E31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fields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Pr="00E31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16E5" w:rsidRPr="0018115B" w:rsidRDefault="00E316E5" w:rsidP="00E316E5">
      <w:pPr>
        <w:spacing w:line="360" w:lineRule="auto"/>
        <w:jc w:val="both"/>
        <w:rPr>
          <w:b/>
          <w:u w:val="single"/>
        </w:rPr>
      </w:pPr>
    </w:p>
    <w:p w:rsidR="00E316E5" w:rsidRDefault="00E316E5"/>
    <w:sectPr w:rsidR="00E3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16E5"/>
    <w:rsid w:val="00E3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Calışkan</dc:creator>
  <cp:keywords/>
  <dc:description/>
  <cp:lastModifiedBy>Hidayet Calışkan</cp:lastModifiedBy>
  <cp:revision>2</cp:revision>
  <dcterms:created xsi:type="dcterms:W3CDTF">2016-10-11T09:44:00Z</dcterms:created>
  <dcterms:modified xsi:type="dcterms:W3CDTF">2016-10-11T09:47:00Z</dcterms:modified>
</cp:coreProperties>
</file>