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E6" w:rsidRPr="003F17E6" w:rsidRDefault="004559CA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tr-TR"/>
        </w:rPr>
      </w:pPr>
      <w:r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  <w:t>AYVACIK MESLEK YÜKSEKOKULU</w:t>
      </w:r>
      <w:r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  <w:br/>
        <w:t>202</w:t>
      </w:r>
      <w:r w:rsidR="0094058D"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  <w:t>2</w:t>
      </w:r>
      <w:r w:rsidR="003F17E6" w:rsidRPr="003F17E6"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  <w:t>-202</w:t>
      </w:r>
      <w:r w:rsidR="0094058D"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  <w:t>3</w:t>
      </w:r>
      <w:r w:rsidR="003F17E6" w:rsidRPr="003F17E6"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  <w:t xml:space="preserve"> EĞİTİM-ÖĞRETİM YILI BAHAR YARIYILI</w:t>
      </w:r>
      <w:r w:rsidR="003F17E6" w:rsidRPr="003F17E6"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  <w:br/>
        <w:t>ÇİFT ANADAL PROGRAMI (ÇAP) BAŞVURU VE KAYIT TAKVİMİ</w:t>
      </w:r>
    </w:p>
    <w:p w:rsidR="003F17E6" w:rsidRPr="003F17E6" w:rsidRDefault="003F17E6" w:rsidP="003F17E6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</w:pPr>
      <w:r w:rsidRPr="003F17E6">
        <w:rPr>
          <w:rFonts w:ascii="Tahoma" w:eastAsia="Times New Roman" w:hAnsi="Tahoma" w:cs="Tahoma"/>
          <w:color w:val="333333"/>
          <w:sz w:val="21"/>
          <w:szCs w:val="21"/>
          <w:lang w:eastAsia="tr-TR"/>
        </w:rPr>
        <w:br/>
      </w:r>
      <w:r w:rsidRPr="003F17E6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202</w:t>
      </w:r>
      <w:r w:rsidR="0094058D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2</w:t>
      </w:r>
      <w:r w:rsidRPr="003F17E6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-202</w:t>
      </w:r>
      <w:r w:rsidR="0094058D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3</w:t>
      </w:r>
      <w:r w:rsidRPr="003F17E6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 xml:space="preserve"> Eğitim-Öğretim Yılı Bahar Yarıyılında Çift </w:t>
      </w:r>
      <w:proofErr w:type="spellStart"/>
      <w:r w:rsidRPr="003F17E6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 xml:space="preserve"> Programı'na Başvuru ve Kayıt Takvimi aşağıdaki gibidir.</w:t>
      </w:r>
    </w:p>
    <w:tbl>
      <w:tblPr>
        <w:tblW w:w="10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4099"/>
      </w:tblGrid>
      <w:tr w:rsidR="003F17E6" w:rsidRPr="003F17E6" w:rsidTr="00F75DE8">
        <w:trPr>
          <w:trHeight w:val="510"/>
        </w:trPr>
        <w:tc>
          <w:tcPr>
            <w:tcW w:w="60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7E6" w:rsidRPr="003F17E6" w:rsidRDefault="003F17E6" w:rsidP="003F17E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1"/>
                <w:lang w:eastAsia="tr-TR"/>
              </w:rPr>
            </w:pP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Başvuruların Alınması</w:t>
            </w:r>
          </w:p>
        </w:tc>
        <w:tc>
          <w:tcPr>
            <w:tcW w:w="40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7E6" w:rsidRPr="003F17E6" w:rsidRDefault="003F17E6" w:rsidP="00C83AB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1"/>
                <w:lang w:eastAsia="tr-TR"/>
              </w:rPr>
            </w:pP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1</w:t>
            </w:r>
            <w:r w:rsidR="00C83AB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5 Şubat - 22</w:t>
            </w: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 xml:space="preserve"> Şubat 202</w:t>
            </w:r>
            <w:r w:rsidR="00C83AB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3</w:t>
            </w:r>
          </w:p>
        </w:tc>
      </w:tr>
      <w:tr w:rsidR="003F17E6" w:rsidRPr="003F17E6" w:rsidTr="00F75DE8">
        <w:trPr>
          <w:trHeight w:val="510"/>
        </w:trPr>
        <w:tc>
          <w:tcPr>
            <w:tcW w:w="60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7E6" w:rsidRPr="003F17E6" w:rsidRDefault="003F17E6" w:rsidP="003F17E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1"/>
                <w:lang w:eastAsia="tr-TR"/>
              </w:rPr>
            </w:pP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Başvuruların Değerlendirilmesi</w:t>
            </w:r>
          </w:p>
        </w:tc>
        <w:tc>
          <w:tcPr>
            <w:tcW w:w="40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7E6" w:rsidRPr="003F17E6" w:rsidRDefault="003F17E6" w:rsidP="00C83AB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1"/>
                <w:lang w:eastAsia="tr-TR"/>
              </w:rPr>
            </w:pP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2</w:t>
            </w:r>
            <w:r w:rsidR="00C83AB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 xml:space="preserve"> Şubat – 2</w:t>
            </w:r>
            <w:r w:rsidR="00C83AB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4</w:t>
            </w: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 xml:space="preserve"> Şubat 202</w:t>
            </w:r>
            <w:r w:rsidR="00C83AB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3</w:t>
            </w:r>
          </w:p>
        </w:tc>
      </w:tr>
      <w:tr w:rsidR="003F17E6" w:rsidRPr="003F17E6" w:rsidTr="00F75DE8">
        <w:trPr>
          <w:trHeight w:val="510"/>
        </w:trPr>
        <w:tc>
          <w:tcPr>
            <w:tcW w:w="60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7E6" w:rsidRPr="003F17E6" w:rsidRDefault="003F17E6" w:rsidP="003F17E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1"/>
                <w:lang w:eastAsia="tr-TR"/>
              </w:rPr>
            </w:pP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Sonuçların İlan Edilmesi</w:t>
            </w:r>
          </w:p>
        </w:tc>
        <w:tc>
          <w:tcPr>
            <w:tcW w:w="40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7E6" w:rsidRPr="003F17E6" w:rsidRDefault="003F17E6" w:rsidP="00C83AB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1"/>
                <w:lang w:eastAsia="tr-TR"/>
              </w:rPr>
            </w:pP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2</w:t>
            </w:r>
            <w:r w:rsidR="00C83AB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7</w:t>
            </w: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 xml:space="preserve"> Şubat 202</w:t>
            </w:r>
            <w:r w:rsidR="00C83AB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3 Pazartesi</w:t>
            </w:r>
          </w:p>
        </w:tc>
      </w:tr>
      <w:tr w:rsidR="003F17E6" w:rsidRPr="003F17E6" w:rsidTr="00F75DE8">
        <w:trPr>
          <w:trHeight w:val="510"/>
        </w:trPr>
        <w:tc>
          <w:tcPr>
            <w:tcW w:w="60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7E6" w:rsidRPr="003F17E6" w:rsidRDefault="003F17E6" w:rsidP="003F17E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1"/>
                <w:lang w:eastAsia="tr-TR"/>
              </w:rPr>
            </w:pP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Kayıtlar</w:t>
            </w:r>
          </w:p>
        </w:tc>
        <w:tc>
          <w:tcPr>
            <w:tcW w:w="40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7E6" w:rsidRPr="003F17E6" w:rsidRDefault="003F17E6" w:rsidP="00C83AB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1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28</w:t>
            </w: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Şubat</w:t>
            </w: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 xml:space="preserve"> - 0</w:t>
            </w:r>
            <w:r w:rsidR="00C83AB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3</w:t>
            </w:r>
            <w:r w:rsidRPr="003F17E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 xml:space="preserve"> Mart 202</w:t>
            </w:r>
            <w:r w:rsidR="00C83AB6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1"/>
                <w:lang w:eastAsia="tr-TR"/>
              </w:rPr>
              <w:t>3</w:t>
            </w:r>
          </w:p>
        </w:tc>
      </w:tr>
    </w:tbl>
    <w:p w:rsidR="003F17E6" w:rsidRPr="003F17E6" w:rsidRDefault="003F17E6" w:rsidP="003F17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tr-TR"/>
        </w:rPr>
      </w:pPr>
      <w:r w:rsidRPr="003F17E6">
        <w:rPr>
          <w:rFonts w:ascii="Tahoma" w:eastAsia="Times New Roman" w:hAnsi="Tahoma" w:cs="Tahoma"/>
          <w:color w:val="333333"/>
          <w:sz w:val="21"/>
          <w:szCs w:val="21"/>
          <w:lang w:eastAsia="tr-TR"/>
        </w:rPr>
        <w:t> </w:t>
      </w:r>
    </w:p>
    <w:p w:rsidR="003F17E6" w:rsidRPr="003F17E6" w:rsidRDefault="003F17E6" w:rsidP="003F17E6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33333"/>
          <w:sz w:val="24"/>
          <w:szCs w:val="21"/>
          <w:u w:val="single"/>
          <w:lang w:eastAsia="tr-TR"/>
        </w:rPr>
      </w:pPr>
      <w:r w:rsidRPr="003F17E6">
        <w:rPr>
          <w:rFonts w:ascii="Tahoma" w:eastAsia="Times New Roman" w:hAnsi="Tahoma" w:cs="Tahoma"/>
          <w:color w:val="333333"/>
          <w:sz w:val="21"/>
          <w:szCs w:val="21"/>
          <w:lang w:eastAsia="tr-TR"/>
        </w:rPr>
        <w:br/>
      </w:r>
      <w:r w:rsidRPr="003F17E6">
        <w:rPr>
          <w:rFonts w:ascii="Tahoma" w:eastAsia="Times New Roman" w:hAnsi="Tahoma" w:cs="Tahoma"/>
          <w:b/>
          <w:bCs/>
          <w:color w:val="333333"/>
          <w:sz w:val="24"/>
          <w:szCs w:val="21"/>
          <w:u w:val="single"/>
          <w:lang w:eastAsia="tr-TR"/>
        </w:rPr>
        <w:t>ÖNEMLİ NOT</w:t>
      </w:r>
    </w:p>
    <w:p w:rsidR="003F17E6" w:rsidRPr="003F17E6" w:rsidRDefault="003F17E6" w:rsidP="004559CA">
      <w:pPr>
        <w:shd w:val="clear" w:color="auto" w:fill="FFFFFF"/>
        <w:spacing w:after="150" w:line="360" w:lineRule="auto"/>
        <w:jc w:val="both"/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</w:pPr>
      <w:r w:rsidRPr="003F17E6">
        <w:rPr>
          <w:rFonts w:ascii="Tahoma" w:eastAsia="Times New Roman" w:hAnsi="Tahoma" w:cs="Tahoma"/>
          <w:color w:val="333333"/>
          <w:sz w:val="21"/>
          <w:szCs w:val="21"/>
          <w:lang w:eastAsia="tr-TR"/>
        </w:rPr>
        <w:br/>
      </w:r>
      <w:r w:rsidR="00194A4D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 xml:space="preserve">ÇİFT ANADAL PROGRAMI’NA (ÇAP) </w:t>
      </w:r>
      <w:r w:rsidRPr="003F17E6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 xml:space="preserve">BAŞVURMAK İÇİN AŞAĞIDAKİ LİNKTE BULUNAN DİLEKÇENİN DOLDURULARAK KARGO YOLUYLA YA DA ELDEN AYVACIK MESLEK YÜKSEKOKULU ÖĞRENCİ İŞLERİNE YUKARIDA BELİRTİLEN </w:t>
      </w:r>
      <w:r w:rsidR="00194A4D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 xml:space="preserve">BAŞVURU </w:t>
      </w:r>
      <w:r w:rsidRPr="003F17E6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TARİHLER</w:t>
      </w:r>
      <w:r w:rsidR="00194A4D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İNE</w:t>
      </w:r>
      <w:r w:rsidRPr="003F17E6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 xml:space="preserve"> KADAR TESLİM EDİLMESİ GEREKMEKTEDİR. KARGODA YAŞANACAK GECİKMELERDEN ÖĞRENCİ KENDİ SORUMLU OLACAKTIR.</w:t>
      </w:r>
    </w:p>
    <w:p w:rsidR="003F17E6" w:rsidRDefault="003F17E6" w:rsidP="003F17E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</w:p>
    <w:p w:rsidR="003F17E6" w:rsidRPr="004559CA" w:rsidRDefault="003F17E6" w:rsidP="004559CA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color w:val="333333"/>
          <w:szCs w:val="21"/>
          <w:lang w:eastAsia="tr-TR"/>
        </w:rPr>
      </w:pPr>
      <w:r w:rsidRPr="004559CA">
        <w:rPr>
          <w:rFonts w:ascii="Tahoma" w:eastAsia="Times New Roman" w:hAnsi="Tahoma" w:cs="Tahoma"/>
          <w:b/>
          <w:color w:val="333333"/>
          <w:szCs w:val="21"/>
          <w:lang w:eastAsia="tr-TR"/>
        </w:rPr>
        <w:t>BU DUYURU TEBLİĞ NİTELİĞİNDEDİR. AYRICA YAZILI BİR TEBLİGAT YAPILMAYACAKTIR.</w:t>
      </w:r>
    </w:p>
    <w:p w:rsidR="003F17E6" w:rsidRPr="003F17E6" w:rsidRDefault="003F17E6" w:rsidP="003F17E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tr-TR"/>
        </w:rPr>
      </w:pPr>
      <w:r w:rsidRPr="003F17E6">
        <w:rPr>
          <w:rFonts w:ascii="Tahoma" w:eastAsia="Times New Roman" w:hAnsi="Tahoma" w:cs="Tahoma"/>
          <w:color w:val="333333"/>
          <w:sz w:val="21"/>
          <w:szCs w:val="21"/>
          <w:lang w:eastAsia="tr-TR"/>
        </w:rPr>
        <w:t> </w:t>
      </w:r>
    </w:p>
    <w:p w:rsidR="003F17E6" w:rsidRPr="003F17E6" w:rsidRDefault="00FD45F7" w:rsidP="003F17E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tr-TR"/>
        </w:rPr>
      </w:pPr>
      <w:hyperlink r:id="rId4" w:tgtFrame="_blank" w:history="1">
        <w:r w:rsidR="003F17E6" w:rsidRPr="003F17E6">
          <w:rPr>
            <w:rFonts w:ascii="Tahoma" w:eastAsia="Times New Roman" w:hAnsi="Tahoma" w:cs="Tahoma"/>
            <w:b/>
            <w:bCs/>
            <w:color w:val="333333"/>
            <w:sz w:val="30"/>
            <w:szCs w:val="30"/>
            <w:lang w:eastAsia="tr-TR"/>
          </w:rPr>
          <w:t>Başvuru Formu İçin Tıklayınız...</w:t>
        </w:r>
      </w:hyperlink>
    </w:p>
    <w:p w:rsidR="003F17E6" w:rsidRDefault="003F17E6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</w:pPr>
      <w:r w:rsidRPr="003F17E6">
        <w:rPr>
          <w:rFonts w:ascii="Tahoma" w:eastAsia="Times New Roman" w:hAnsi="Tahoma" w:cs="Tahoma"/>
          <w:color w:val="333333"/>
          <w:sz w:val="21"/>
          <w:szCs w:val="21"/>
          <w:lang w:eastAsia="tr-TR"/>
        </w:rPr>
        <w:br/>
      </w:r>
    </w:p>
    <w:p w:rsidR="003F17E6" w:rsidRDefault="003F17E6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</w:pPr>
    </w:p>
    <w:p w:rsidR="003F17E6" w:rsidRDefault="003F17E6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</w:pPr>
    </w:p>
    <w:p w:rsidR="003F17E6" w:rsidRDefault="003F17E6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</w:pPr>
    </w:p>
    <w:p w:rsidR="003F17E6" w:rsidRDefault="003F17E6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</w:pPr>
    </w:p>
    <w:p w:rsidR="003F17E6" w:rsidRDefault="003F17E6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</w:pPr>
    </w:p>
    <w:p w:rsidR="003F17E6" w:rsidRDefault="003F17E6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</w:pPr>
    </w:p>
    <w:p w:rsidR="003F17E6" w:rsidRDefault="003F17E6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</w:pPr>
    </w:p>
    <w:p w:rsidR="003F17E6" w:rsidRPr="003F17E6" w:rsidRDefault="003F17E6" w:rsidP="003F17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tr-TR"/>
        </w:rPr>
      </w:pPr>
      <w:r w:rsidRPr="003F17E6">
        <w:rPr>
          <w:rFonts w:ascii="Tahoma" w:eastAsia="Times New Roman" w:hAnsi="Tahoma" w:cs="Tahoma"/>
          <w:b/>
          <w:bCs/>
          <w:color w:val="333333"/>
          <w:sz w:val="30"/>
          <w:szCs w:val="30"/>
          <w:lang w:eastAsia="tr-TR"/>
        </w:rPr>
        <w:lastRenderedPageBreak/>
        <w:t>Başvuru ve Mezuniyet Şartları</w:t>
      </w:r>
    </w:p>
    <w:p w:rsidR="003F17E6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(1)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Aynı anda birden fazla ikinci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diploma programına kayıt yapılamaz.</w:t>
      </w:r>
    </w:p>
    <w:p w:rsidR="003F17E6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(2)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Öğrenci ikinci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diploma programına,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lisans diploma programında en erken üçüncü yarıyılın başında, en geç ise dört yıllık programlarda beşinci yarıyılın başında, beş yıllık programlarda yedinci yarıyılın başında, altı yıllık programlarda ise dokuzuncu yarıyılın başında,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önlisans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diploma programında en erken ikinci yarıyılın başında, en geç ise üçüncü yarıyılın başında başvurabilir.</w:t>
      </w:r>
    </w:p>
    <w:p w:rsidR="003F17E6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 </w:t>
      </w:r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(3)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Not ortalaması başvurduğu dönemde 100 üzerinden 70 olanlar ve sınıfında başarı sıralamasında %20’sinin içerisinde olanlar başvurabilir.</w:t>
      </w:r>
    </w:p>
    <w:p w:rsidR="003F17E6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(4)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Yukarıdaki şartı yerine getiremeyenler için; not ortalaması 100 üzerinden 70 olanlar ve üniversiteyi kazandığı dönemdeki ÖSYS yerleştirme puanı, başvurduğu programın taban puanından yüksek olanlar başvurabilir.</w:t>
      </w:r>
    </w:p>
    <w:p w:rsidR="003F17E6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(5)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Çift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diploma programına başvurabilmesi için öğrencinin başvurduğu yarıyıla kadar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diploma programında aldığı tüm dersleri başarıyla tamamlaması gerekir.</w:t>
      </w:r>
    </w:p>
    <w:p w:rsidR="00FD45F7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(6)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Öğrencinin çift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programından mezun olabilmesi için genel not ortalamasının en az 100 üzerinden 70 olması gerekir. Tüm çift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öğrenimi süresince öğrencinin genel not ortalaması bir defaya mahsus olmak üzere 100 üzerinden 65'e kadar düşebilir. </w:t>
      </w:r>
      <w:r w:rsidR="00FD45F7" w:rsidRPr="00FD45F7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Genel not ortalaması ikinci kez 100 üzerinden (Değişik </w:t>
      </w:r>
      <w:proofErr w:type="gramStart"/>
      <w:r w:rsidR="00FD45F7" w:rsidRPr="00FD45F7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ibare:RG</w:t>
      </w:r>
      <w:proofErr w:type="gramEnd"/>
      <w:r w:rsidR="00FD45F7" w:rsidRPr="00FD45F7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-21/12/2019-30985)(2) 70’in altına düşen öğrencinin ikinci </w:t>
      </w:r>
      <w:proofErr w:type="spellStart"/>
      <w:r w:rsidR="00FD45F7" w:rsidRPr="00FD45F7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="00FD45F7" w:rsidRPr="00FD45F7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diploma programından kaydı silinir. </w:t>
      </w:r>
    </w:p>
    <w:p w:rsidR="003F17E6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bookmarkStart w:id="0" w:name="_GoBack"/>
      <w:bookmarkEnd w:id="0"/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(7)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İkinci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lisans programına devam eden öğrenciye mezuniyet diploması ancak devam ettiği birinci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diploma programından mezun olması halinde verilebilir.</w:t>
      </w:r>
    </w:p>
    <w:p w:rsidR="003F17E6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(8)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Çift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ikinci diploma programında öğrenim gören öğrencinin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programında almış olduğu ve eşdeğerlikleri kabul edilen dersler, not çizelgesinde gösterilir.</w:t>
      </w:r>
    </w:p>
    <w:p w:rsidR="003F17E6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(9)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Çift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programından iki yarıyıl üst üste ders almayan öğrencinin ikinci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diploma programından kaydı silinir.</w:t>
      </w:r>
    </w:p>
    <w:p w:rsidR="003F17E6" w:rsidRPr="003F17E6" w:rsidRDefault="003F17E6" w:rsidP="003F17E6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1"/>
          <w:lang w:eastAsia="tr-TR"/>
        </w:rPr>
      </w:pPr>
      <w:r w:rsidRPr="004559CA">
        <w:rPr>
          <w:rFonts w:ascii="Tahoma" w:eastAsia="Times New Roman" w:hAnsi="Tahoma" w:cs="Tahoma"/>
          <w:b/>
          <w:color w:val="333333"/>
          <w:sz w:val="24"/>
          <w:szCs w:val="21"/>
          <w:lang w:eastAsia="tr-TR"/>
        </w:rPr>
        <w:t>(10)</w:t>
      </w:r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Çift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Programından çıkarılan öğrencilerin ikinci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programında almış oldukları dersler birinci </w:t>
      </w:r>
      <w:proofErr w:type="spellStart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>anadal</w:t>
      </w:r>
      <w:proofErr w:type="spellEnd"/>
      <w:r w:rsidRPr="003F17E6">
        <w:rPr>
          <w:rFonts w:ascii="Tahoma" w:eastAsia="Times New Roman" w:hAnsi="Tahoma" w:cs="Tahoma"/>
          <w:color w:val="333333"/>
          <w:sz w:val="24"/>
          <w:szCs w:val="21"/>
          <w:lang w:eastAsia="tr-TR"/>
        </w:rPr>
        <w:t xml:space="preserve"> programı transkriptinde gösterilmez.</w:t>
      </w:r>
    </w:p>
    <w:p w:rsidR="00761A97" w:rsidRDefault="00761A97" w:rsidP="00761A97">
      <w:pPr>
        <w:rPr>
          <w:rFonts w:ascii="Tahoma" w:hAnsi="Tahoma" w:cs="Tahoma"/>
        </w:rPr>
      </w:pPr>
    </w:p>
    <w:p w:rsidR="00761A97" w:rsidRDefault="00761A97" w:rsidP="00761A97">
      <w:pPr>
        <w:rPr>
          <w:rFonts w:ascii="Tahoma" w:hAnsi="Tahoma" w:cs="Tahoma"/>
        </w:rPr>
      </w:pPr>
    </w:p>
    <w:sectPr w:rsidR="00761A97" w:rsidSect="003F17E6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A"/>
    <w:rsid w:val="00194A4D"/>
    <w:rsid w:val="003F17E6"/>
    <w:rsid w:val="00433115"/>
    <w:rsid w:val="004559CA"/>
    <w:rsid w:val="004E609A"/>
    <w:rsid w:val="00544123"/>
    <w:rsid w:val="00761A97"/>
    <w:rsid w:val="0094058D"/>
    <w:rsid w:val="00BD4E63"/>
    <w:rsid w:val="00C83AB6"/>
    <w:rsid w:val="00E009BE"/>
    <w:rsid w:val="00F75DE8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A8B05-F9AA-45FE-BADA-B579AD06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17E6"/>
    <w:rPr>
      <w:b/>
      <w:bCs/>
    </w:rPr>
  </w:style>
  <w:style w:type="paragraph" w:styleId="ListeParagraf">
    <w:name w:val="List Paragraph"/>
    <w:basedOn w:val="Normal"/>
    <w:uiPriority w:val="34"/>
    <w:qFormat/>
    <w:rsid w:val="003F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n.comu.edu.tr/cms/ayvacik/files/394-cap-basvuru-formu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ERDİNÇ BALIK</dc:creator>
  <cp:keywords/>
  <dc:description/>
  <cp:lastModifiedBy>Microsoft hesabı</cp:lastModifiedBy>
  <cp:revision>9</cp:revision>
  <cp:lastPrinted>2022-02-01T06:44:00Z</cp:lastPrinted>
  <dcterms:created xsi:type="dcterms:W3CDTF">2022-02-01T06:27:00Z</dcterms:created>
  <dcterms:modified xsi:type="dcterms:W3CDTF">2023-01-30T08:05:00Z</dcterms:modified>
</cp:coreProperties>
</file>