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9909" w14:textId="77777777" w:rsidR="00001FCC" w:rsidRPr="002C2B84" w:rsidRDefault="00001FCC" w:rsidP="00196CAB">
      <w:pPr>
        <w:pStyle w:val="Balk7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648"/>
      </w:tblGrid>
      <w:tr w:rsidR="00001FCC" w:rsidRPr="002C2B84" w14:paraId="1B6EB22B" w14:textId="77777777"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E987" w14:textId="77777777" w:rsidR="00001FCC" w:rsidRPr="002C2B84" w:rsidRDefault="00B443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C2B84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001FCC" w:rsidRPr="002C2B84" w14:paraId="450D62AA" w14:textId="7777777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D219" w14:textId="77777777" w:rsidR="00001FCC" w:rsidRPr="002C2B84" w:rsidRDefault="00B443D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2C2B84">
              <w:rPr>
                <w:rFonts w:eastAsia="Arial"/>
                <w:b/>
                <w:sz w:val="24"/>
                <w:szCs w:val="24"/>
              </w:rPr>
              <w:t>Rev.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E94" w14:textId="77777777" w:rsidR="00001FCC" w:rsidRPr="002C2B84" w:rsidRDefault="00B443D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2C2B84">
              <w:rPr>
                <w:rFonts w:eastAsia="Arial"/>
                <w:b/>
                <w:sz w:val="24"/>
                <w:szCs w:val="24"/>
              </w:rPr>
              <w:t>Rev. Tarihi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2821" w14:textId="77777777" w:rsidR="00001FCC" w:rsidRPr="002C2B84" w:rsidRDefault="00B443D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2C2B84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001FCC" w:rsidRPr="002C2B84" w14:paraId="41D69DD6" w14:textId="7777777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E415" w14:textId="77777777" w:rsidR="00001FCC" w:rsidRPr="002C2B84" w:rsidRDefault="00B443D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2C2B84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8AD" w14:textId="77777777" w:rsidR="00001FCC" w:rsidRPr="002C2B84" w:rsidRDefault="00001FCC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6E4" w14:textId="77777777" w:rsidR="00001FCC" w:rsidRPr="002C2B84" w:rsidRDefault="00B44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C2B84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14:paraId="6171FFBE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-2880"/>
          <w:tab w:val="left" w:pos="540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6D6D1687" w14:textId="77777777" w:rsidR="00001FCC" w:rsidRPr="002C2B84" w:rsidRDefault="00B443DE">
      <w:pPr>
        <w:numPr>
          <w:ilvl w:val="0"/>
          <w:numId w:val="4"/>
        </w:numPr>
        <w:spacing w:line="264" w:lineRule="auto"/>
        <w:ind w:left="0" w:firstLine="0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AMAÇ :</w:t>
      </w:r>
    </w:p>
    <w:p w14:paraId="0D063893" w14:textId="77777777" w:rsidR="00001FCC" w:rsidRPr="002C2B84" w:rsidRDefault="00B443DE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>Güvenlik ihlaline kasdi olarak teşebb</w:t>
      </w:r>
      <w:r w:rsidR="001A7A5C" w:rsidRPr="002C2B84">
        <w:rPr>
          <w:rFonts w:eastAsia="Tahoma"/>
          <w:sz w:val="24"/>
          <w:szCs w:val="24"/>
        </w:rPr>
        <w:t xml:space="preserve">üs eden personel için resmi disiplin işleyişi </w:t>
      </w:r>
      <w:r w:rsidRPr="002C2B84">
        <w:rPr>
          <w:rFonts w:eastAsia="Tahoma"/>
          <w:sz w:val="24"/>
          <w:szCs w:val="24"/>
        </w:rPr>
        <w:t>sağlamak.</w:t>
      </w:r>
    </w:p>
    <w:p w14:paraId="42B518DF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-2880"/>
          <w:tab w:val="left" w:pos="284"/>
          <w:tab w:val="left" w:pos="709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38880911" w14:textId="77777777" w:rsidR="00001FCC" w:rsidRPr="002C2B84" w:rsidRDefault="00B443DE">
      <w:pPr>
        <w:numPr>
          <w:ilvl w:val="0"/>
          <w:numId w:val="4"/>
        </w:numPr>
        <w:spacing w:line="264" w:lineRule="auto"/>
        <w:ind w:left="0" w:firstLine="0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KAPSAM VE SORUMLULUKLAR:</w:t>
      </w:r>
    </w:p>
    <w:p w14:paraId="55D093C9" w14:textId="77777777" w:rsidR="00001FCC" w:rsidRPr="002C2B84" w:rsidRDefault="00B443DE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>Güvenlik ihlalinin kesin delillerinin toplanmasından ve güvenlik ihlalinin varlığının kanıtlanmasından sonra, ihlali gerçekleştiren personel / personellerin savunmalarının alınması ile başlar, ihlalin boyutlarına bağlı olarak</w:t>
      </w:r>
    </w:p>
    <w:p w14:paraId="3DC27237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Uyarı,</w:t>
      </w:r>
    </w:p>
    <w:p w14:paraId="67A48CE8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İhtar,</w:t>
      </w:r>
    </w:p>
    <w:p w14:paraId="2EBE93D2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Para cezası,</w:t>
      </w:r>
    </w:p>
    <w:p w14:paraId="6039BC93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Geçici uzaklaştırma,</w:t>
      </w:r>
    </w:p>
    <w:p w14:paraId="220432B7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Kesin uzaklaştırma,</w:t>
      </w:r>
    </w:p>
    <w:p w14:paraId="161A4BC2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Tazminat davası açma,</w:t>
      </w:r>
    </w:p>
    <w:p w14:paraId="09D90A93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 xml:space="preserve">Açılan tazminat davalarının sonuçlarının rücu edilmesi, </w:t>
      </w:r>
    </w:p>
    <w:p w14:paraId="66776C9C" w14:textId="77777777" w:rsidR="00001FCC" w:rsidRPr="002C2B84" w:rsidRDefault="00B443D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 xml:space="preserve">Cezalarının birinin veya birden fazlasının uygulanması ile </w:t>
      </w:r>
    </w:p>
    <w:p w14:paraId="0E8E9A41" w14:textId="77777777" w:rsidR="00001FCC" w:rsidRPr="002C2B84" w:rsidRDefault="00B443DE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 xml:space="preserve">sonuçlanır. </w:t>
      </w:r>
    </w:p>
    <w:p w14:paraId="0FC07394" w14:textId="77777777" w:rsidR="00001FCC" w:rsidRPr="002C2B84" w:rsidRDefault="00B443DE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 xml:space="preserve">Yaptırımlar karşılıklı olarak yargıya ve idare mahkemelerine açıktır.  </w:t>
      </w:r>
    </w:p>
    <w:p w14:paraId="651E9E93" w14:textId="77777777" w:rsidR="00C60041" w:rsidRPr="002C2B84" w:rsidRDefault="00C60041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p w14:paraId="62B654E0" w14:textId="77777777" w:rsidR="00001FCC" w:rsidRPr="002C2B84" w:rsidRDefault="00B443DE" w:rsidP="00C60041">
      <w:pPr>
        <w:pStyle w:val="ListeParagraf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80"/>
        </w:tabs>
        <w:spacing w:line="360" w:lineRule="auto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 xml:space="preserve">Bu prosedürün uygulanmasından </w:t>
      </w:r>
      <w:r w:rsidRPr="002C2B84">
        <w:rPr>
          <w:rFonts w:eastAsia="Tahoma"/>
          <w:b/>
          <w:sz w:val="24"/>
          <w:szCs w:val="24"/>
        </w:rPr>
        <w:t xml:space="preserve">Daire Başkanı </w:t>
      </w:r>
      <w:r w:rsidRPr="002C2B84">
        <w:rPr>
          <w:rFonts w:eastAsia="Tahoma"/>
          <w:color w:val="000000"/>
          <w:sz w:val="24"/>
          <w:szCs w:val="24"/>
        </w:rPr>
        <w:t xml:space="preserve">ve </w:t>
      </w:r>
      <w:r w:rsidRPr="002C2B84">
        <w:rPr>
          <w:rFonts w:eastAsia="Tahoma"/>
          <w:b/>
          <w:color w:val="000000"/>
          <w:sz w:val="24"/>
          <w:szCs w:val="24"/>
        </w:rPr>
        <w:t>Disiplin Komisyonu</w:t>
      </w:r>
      <w:r w:rsidRPr="002C2B84">
        <w:rPr>
          <w:rFonts w:eastAsia="Tahoma"/>
          <w:color w:val="000000"/>
          <w:sz w:val="24"/>
          <w:szCs w:val="24"/>
        </w:rPr>
        <w:t xml:space="preserve"> sorumludur.</w:t>
      </w:r>
    </w:p>
    <w:p w14:paraId="07E30FA9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-2880"/>
          <w:tab w:val="left" w:pos="284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2CDC8AA8" w14:textId="77777777" w:rsidR="00001FCC" w:rsidRPr="002C2B84" w:rsidRDefault="00B443DE">
      <w:pPr>
        <w:numPr>
          <w:ilvl w:val="0"/>
          <w:numId w:val="4"/>
        </w:numPr>
        <w:spacing w:line="264" w:lineRule="auto"/>
        <w:ind w:left="0" w:firstLine="0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TANIMLAR VE KISALTMALAR :</w:t>
      </w:r>
    </w:p>
    <w:p w14:paraId="23C014B7" w14:textId="77777777" w:rsidR="00001FCC" w:rsidRPr="002C2B84" w:rsidRDefault="00B443DE">
      <w:pPr>
        <w:pBdr>
          <w:top w:val="nil"/>
          <w:left w:val="nil"/>
          <w:bottom w:val="nil"/>
          <w:right w:val="nil"/>
          <w:between w:val="nil"/>
        </w:pBdr>
        <w:tabs>
          <w:tab w:val="left" w:pos="-2880"/>
          <w:tab w:val="left" w:pos="284"/>
          <w:tab w:val="left" w:pos="1620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t xml:space="preserve">Disiplin Komisyonu: </w:t>
      </w:r>
      <w:r w:rsidRPr="002C2B84">
        <w:rPr>
          <w:rFonts w:eastAsia="Tahoma"/>
          <w:sz w:val="24"/>
          <w:szCs w:val="24"/>
        </w:rPr>
        <w:t>Daire Başkanının</w:t>
      </w:r>
      <w:r w:rsidRPr="002C2B84">
        <w:rPr>
          <w:rFonts w:eastAsia="Tahoma"/>
          <w:color w:val="000000"/>
          <w:sz w:val="24"/>
          <w:szCs w:val="24"/>
        </w:rPr>
        <w:t xml:space="preserve"> </w:t>
      </w:r>
      <w:r w:rsidR="001A7A5C" w:rsidRPr="002C2B84">
        <w:rPr>
          <w:rFonts w:eastAsia="Tahoma"/>
          <w:color w:val="000000"/>
          <w:sz w:val="24"/>
          <w:szCs w:val="24"/>
        </w:rPr>
        <w:t>talebi ile Rektörlük tarafından</w:t>
      </w:r>
      <w:r w:rsidRPr="002C2B84">
        <w:rPr>
          <w:rFonts w:eastAsia="Tahoma"/>
          <w:color w:val="000000"/>
          <w:sz w:val="24"/>
          <w:szCs w:val="24"/>
        </w:rPr>
        <w:t xml:space="preserve"> oluşturulacak olan yöneticiler veya sorumlular topluluğu olarak tanımlanır.</w:t>
      </w:r>
    </w:p>
    <w:p w14:paraId="1AE7877A" w14:textId="77777777" w:rsidR="00C60041" w:rsidRPr="002C2B84" w:rsidRDefault="00C60041">
      <w:pPr>
        <w:pBdr>
          <w:top w:val="nil"/>
          <w:left w:val="nil"/>
          <w:bottom w:val="nil"/>
          <w:right w:val="nil"/>
          <w:between w:val="nil"/>
        </w:pBdr>
        <w:tabs>
          <w:tab w:val="left" w:pos="-2880"/>
          <w:tab w:val="left" w:pos="284"/>
          <w:tab w:val="left" w:pos="1620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3F450260" w14:textId="77777777" w:rsidR="00001FCC" w:rsidRPr="002C2B84" w:rsidRDefault="00B443DE">
      <w:pPr>
        <w:numPr>
          <w:ilvl w:val="0"/>
          <w:numId w:val="4"/>
        </w:numPr>
        <w:spacing w:line="264" w:lineRule="auto"/>
        <w:ind w:left="0" w:firstLine="0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REFERANS DOKÜMANLAR</w:t>
      </w:r>
    </w:p>
    <w:p w14:paraId="5578F969" w14:textId="77777777" w:rsidR="00001FCC" w:rsidRPr="002C2B84" w:rsidRDefault="00B443DE" w:rsidP="001A7A5C">
      <w:pPr>
        <w:pStyle w:val="ListeParagraf"/>
        <w:numPr>
          <w:ilvl w:val="0"/>
          <w:numId w:val="6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>4857 Sayılı İş Kanunu</w:t>
      </w:r>
    </w:p>
    <w:p w14:paraId="1D051780" w14:textId="77777777" w:rsidR="001A7A5C" w:rsidRPr="002C2B84" w:rsidRDefault="001A7A5C" w:rsidP="001A7A5C">
      <w:pPr>
        <w:pStyle w:val="ListeParagraf"/>
        <w:numPr>
          <w:ilvl w:val="0"/>
          <w:numId w:val="6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lastRenderedPageBreak/>
        <w:t>657 Sayılı Devlet Memurları Kanunu</w:t>
      </w:r>
    </w:p>
    <w:p w14:paraId="6763419F" w14:textId="77777777" w:rsidR="001A7A5C" w:rsidRPr="002C2B84" w:rsidRDefault="001A7A5C" w:rsidP="001A7A5C">
      <w:pPr>
        <w:pStyle w:val="ListeParagraf"/>
        <w:numPr>
          <w:ilvl w:val="0"/>
          <w:numId w:val="6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>2547 Sayılı Yükseköğretim Kanunu</w:t>
      </w:r>
    </w:p>
    <w:p w14:paraId="65D94C79" w14:textId="77777777" w:rsidR="001A7A5C" w:rsidRPr="002C2B84" w:rsidRDefault="001A7A5C" w:rsidP="001A7A5C">
      <w:pPr>
        <w:pStyle w:val="ListeParagraf"/>
        <w:numPr>
          <w:ilvl w:val="0"/>
          <w:numId w:val="6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sz w:val="24"/>
          <w:szCs w:val="24"/>
        </w:rPr>
        <w:t>Yükseköğretim Kurumları Yönetici, Öğretim Elemanı ve Memurları Disiplin Yönetmeliği</w:t>
      </w:r>
    </w:p>
    <w:p w14:paraId="5C57A462" w14:textId="77777777" w:rsidR="00C60041" w:rsidRPr="002C2B84" w:rsidRDefault="00C60041" w:rsidP="00C60041">
      <w:pPr>
        <w:pStyle w:val="ListeParagraf"/>
        <w:spacing w:line="264" w:lineRule="auto"/>
        <w:jc w:val="both"/>
        <w:rPr>
          <w:rFonts w:eastAsia="Tahoma"/>
          <w:sz w:val="24"/>
          <w:szCs w:val="24"/>
        </w:rPr>
      </w:pPr>
    </w:p>
    <w:p w14:paraId="294A290E" w14:textId="77777777" w:rsidR="00001FCC" w:rsidRPr="002C2B84" w:rsidRDefault="00B443DE" w:rsidP="00C60041">
      <w:pPr>
        <w:pStyle w:val="ListeParagraf"/>
        <w:numPr>
          <w:ilvl w:val="0"/>
          <w:numId w:val="4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UYGULAMA</w:t>
      </w:r>
    </w:p>
    <w:p w14:paraId="1D15D5AE" w14:textId="77777777" w:rsidR="001A7A5C" w:rsidRPr="002C2B84" w:rsidRDefault="00B443DE" w:rsidP="001A7A5C">
      <w:pPr>
        <w:pStyle w:val="ListeParagraf"/>
        <w:numPr>
          <w:ilvl w:val="0"/>
          <w:numId w:val="6"/>
        </w:numPr>
        <w:spacing w:line="264" w:lineRule="auto"/>
        <w:jc w:val="both"/>
        <w:rPr>
          <w:rFonts w:eastAsia="Tahoma"/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>Disiplin prosedürün</w:t>
      </w:r>
      <w:r w:rsidRPr="002C2B84">
        <w:rPr>
          <w:rFonts w:eastAsia="Tahoma"/>
          <w:sz w:val="24"/>
          <w:szCs w:val="24"/>
        </w:rPr>
        <w:t>ün</w:t>
      </w:r>
      <w:r w:rsidRPr="002C2B84">
        <w:rPr>
          <w:rFonts w:eastAsia="Tahoma"/>
          <w:color w:val="000000"/>
          <w:sz w:val="24"/>
          <w:szCs w:val="24"/>
        </w:rPr>
        <w:t xml:space="preserve">, </w:t>
      </w:r>
      <w:r w:rsidRPr="002C2B84">
        <w:rPr>
          <w:rFonts w:eastAsia="Tahoma"/>
          <w:sz w:val="24"/>
          <w:szCs w:val="24"/>
        </w:rPr>
        <w:t xml:space="preserve">disiplin uygulamalarında </w:t>
      </w:r>
      <w:r w:rsidR="001A7A5C" w:rsidRPr="002C2B84">
        <w:rPr>
          <w:rFonts w:eastAsia="Tahoma"/>
          <w:sz w:val="24"/>
          <w:szCs w:val="24"/>
        </w:rPr>
        <w:t xml:space="preserve">4857 Sayılı İş Kanunu,  657 Sayılı Devlet  </w:t>
      </w:r>
    </w:p>
    <w:p w14:paraId="69B334A6" w14:textId="77777777" w:rsidR="00001FCC" w:rsidRPr="002C2B84" w:rsidRDefault="001A7A5C" w:rsidP="001A7A5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 xml:space="preserve">Memurları Kanunu, </w:t>
      </w:r>
      <w:r w:rsidR="00B443DE" w:rsidRPr="002C2B84">
        <w:rPr>
          <w:rFonts w:eastAsia="Tahoma"/>
          <w:sz w:val="24"/>
          <w:szCs w:val="24"/>
        </w:rPr>
        <w:t xml:space="preserve">2547 sayılı </w:t>
      </w:r>
      <w:r w:rsidRPr="002C2B84">
        <w:rPr>
          <w:rFonts w:eastAsia="Tahoma"/>
          <w:sz w:val="24"/>
          <w:szCs w:val="24"/>
        </w:rPr>
        <w:t xml:space="preserve">Yükseköğretim Kanunu ve Yükseköğretim Kurumları Yönetici, Öğretim Elemanı ve Memurları Disiplin Yönetmeliği </w:t>
      </w:r>
      <w:r w:rsidR="00C60041" w:rsidRPr="002C2B84">
        <w:rPr>
          <w:rFonts w:eastAsia="Tahoma"/>
          <w:sz w:val="24"/>
          <w:szCs w:val="24"/>
        </w:rPr>
        <w:t xml:space="preserve">geçerlidir. </w:t>
      </w:r>
      <w:r w:rsidR="00B443DE" w:rsidRPr="002C2B84">
        <w:rPr>
          <w:rFonts w:eastAsia="Tahoma"/>
          <w:sz w:val="24"/>
          <w:szCs w:val="24"/>
        </w:rPr>
        <w:t>Bur</w:t>
      </w:r>
      <w:r w:rsidR="00BD4894" w:rsidRPr="002C2B84">
        <w:rPr>
          <w:rFonts w:eastAsia="Tahoma"/>
          <w:sz w:val="24"/>
          <w:szCs w:val="24"/>
        </w:rPr>
        <w:t>a</w:t>
      </w:r>
      <w:r w:rsidR="00B443DE" w:rsidRPr="002C2B84">
        <w:rPr>
          <w:rFonts w:eastAsia="Tahoma"/>
          <w:sz w:val="24"/>
          <w:szCs w:val="24"/>
        </w:rPr>
        <w:t>da yer almayan uygulamalarda aşağıdaki hususlar geçerlidir.</w:t>
      </w:r>
    </w:p>
    <w:p w14:paraId="1AF7A63D" w14:textId="77777777" w:rsidR="00001FCC" w:rsidRPr="002C2B84" w:rsidRDefault="00B44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 xml:space="preserve">Resmi bir disiplin prosedüründe, güvenlik ihlaline teşebbüs ettiğinden şüphelenilen personelle ilgili soruşturmaların doğru ve adil olduğundan emin olunmalıdır. </w:t>
      </w:r>
    </w:p>
    <w:p w14:paraId="29B13526" w14:textId="77777777" w:rsidR="00001FCC" w:rsidRPr="002C2B84" w:rsidRDefault="00B443DE" w:rsidP="00C60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>Resmi disiplin prosedür</w:t>
      </w:r>
      <w:r w:rsidR="00C60041" w:rsidRPr="002C2B84">
        <w:rPr>
          <w:rFonts w:eastAsia="Tahoma"/>
          <w:color w:val="000000"/>
          <w:sz w:val="24"/>
          <w:szCs w:val="24"/>
        </w:rPr>
        <w:t>ü, ihlalin tipi ve uygulanışı, k</w:t>
      </w:r>
      <w:r w:rsidRPr="002C2B84">
        <w:rPr>
          <w:rFonts w:eastAsia="Tahoma"/>
          <w:color w:val="000000"/>
          <w:sz w:val="24"/>
          <w:szCs w:val="24"/>
        </w:rPr>
        <w:t>uru</w:t>
      </w:r>
      <w:r w:rsidR="00C60041" w:rsidRPr="002C2B84">
        <w:rPr>
          <w:rFonts w:eastAsia="Tahoma"/>
          <w:color w:val="000000"/>
          <w:sz w:val="24"/>
          <w:szCs w:val="24"/>
        </w:rPr>
        <w:t xml:space="preserve">m </w:t>
      </w:r>
      <w:r w:rsidRPr="002C2B84">
        <w:rPr>
          <w:rFonts w:eastAsia="Tahoma"/>
          <w:color w:val="000000"/>
          <w:sz w:val="24"/>
          <w:szCs w:val="24"/>
        </w:rPr>
        <w:t>üzerindeki etkisi, ilk ya da tekrarlanmış bir saldırı olup olmadığı, ihlali yapan kişinin özel olarak eğiti</w:t>
      </w:r>
      <w:r w:rsidR="00C60041" w:rsidRPr="002C2B84">
        <w:rPr>
          <w:rFonts w:eastAsia="Tahoma"/>
          <w:color w:val="000000"/>
          <w:sz w:val="24"/>
          <w:szCs w:val="24"/>
        </w:rPr>
        <w:t>lip eğitilmediği gibi faktörleri,</w:t>
      </w:r>
      <w:r w:rsidRPr="002C2B84">
        <w:rPr>
          <w:rFonts w:eastAsia="Tahoma"/>
          <w:color w:val="000000"/>
          <w:sz w:val="24"/>
          <w:szCs w:val="24"/>
        </w:rPr>
        <w:t xml:space="preserve"> ilgili yasalar, ve talep edilen diğer faktörle</w:t>
      </w:r>
      <w:r w:rsidR="00BD4894" w:rsidRPr="002C2B84">
        <w:rPr>
          <w:rFonts w:eastAsia="Tahoma"/>
          <w:color w:val="000000"/>
          <w:sz w:val="24"/>
          <w:szCs w:val="24"/>
        </w:rPr>
        <w:t>r açısından cevaplandıracak</w:t>
      </w:r>
      <w:r w:rsidRPr="002C2B84">
        <w:rPr>
          <w:rFonts w:eastAsia="Tahoma"/>
          <w:b/>
          <w:color w:val="FF0000"/>
          <w:sz w:val="24"/>
          <w:szCs w:val="24"/>
        </w:rPr>
        <w:t xml:space="preserve"> </w:t>
      </w:r>
      <w:r w:rsidRPr="002C2B84">
        <w:rPr>
          <w:rFonts w:eastAsia="Tahoma"/>
          <w:b/>
          <w:sz w:val="24"/>
          <w:szCs w:val="24"/>
        </w:rPr>
        <w:t>bu konularda yetkinliği olan bir hukukçu</w:t>
      </w:r>
      <w:r w:rsidR="00C60041" w:rsidRPr="002C2B84">
        <w:rPr>
          <w:rFonts w:eastAsia="Tahoma"/>
          <w:b/>
          <w:sz w:val="24"/>
          <w:szCs w:val="24"/>
        </w:rPr>
        <w:t xml:space="preserve"> ve teknik bilgiye sahip </w:t>
      </w:r>
      <w:r w:rsidR="00BD4894" w:rsidRPr="002C2B84">
        <w:rPr>
          <w:rFonts w:eastAsia="Tahoma"/>
          <w:b/>
          <w:sz w:val="24"/>
          <w:szCs w:val="24"/>
        </w:rPr>
        <w:t xml:space="preserve">bir </w:t>
      </w:r>
      <w:r w:rsidR="00C60041" w:rsidRPr="002C2B84">
        <w:rPr>
          <w:rFonts w:eastAsia="Tahoma"/>
          <w:b/>
          <w:sz w:val="24"/>
          <w:szCs w:val="24"/>
        </w:rPr>
        <w:t>personel</w:t>
      </w:r>
      <w:r w:rsidRPr="002C2B84">
        <w:rPr>
          <w:rFonts w:eastAsia="Tahoma"/>
          <w:sz w:val="24"/>
          <w:szCs w:val="24"/>
        </w:rPr>
        <w:t xml:space="preserve"> sağlanmalıdır.</w:t>
      </w:r>
    </w:p>
    <w:p w14:paraId="0E50B51F" w14:textId="77777777" w:rsidR="00001FCC" w:rsidRPr="002C2B84" w:rsidRDefault="00B44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>Kayıtlar, kağıt üzerindeki ilgili kayıtlar veya bilgisayar medyasında bulunan tüm taşınabilir medya, hard disk ya da hafızada bulunan bilgilerin taslak ve kopyalarıdır.</w:t>
      </w:r>
    </w:p>
    <w:p w14:paraId="49411039" w14:textId="77777777" w:rsidR="00001FCC" w:rsidRPr="002C2B84" w:rsidRDefault="00B44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>Deliller bilişim hukukunun ortaya koyduğu adli delil toplama kurallarına uygun toplanmış olmalıdır.</w:t>
      </w:r>
    </w:p>
    <w:p w14:paraId="601829C1" w14:textId="77777777" w:rsidR="00001FCC" w:rsidRPr="002C2B84" w:rsidRDefault="00001FCC">
      <w:pPr>
        <w:tabs>
          <w:tab w:val="left" w:pos="284"/>
        </w:tabs>
        <w:spacing w:line="360" w:lineRule="auto"/>
        <w:jc w:val="both"/>
        <w:rPr>
          <w:rFonts w:eastAsia="Tahoma"/>
          <w:sz w:val="24"/>
          <w:szCs w:val="24"/>
        </w:rPr>
      </w:pPr>
    </w:p>
    <w:p w14:paraId="1A06C328" w14:textId="77777777" w:rsidR="00001FCC" w:rsidRPr="002C2B84" w:rsidRDefault="00B443DE">
      <w:pPr>
        <w:tabs>
          <w:tab w:val="left" w:pos="284"/>
        </w:tabs>
        <w:spacing w:line="360" w:lineRule="auto"/>
        <w:jc w:val="both"/>
        <w:rPr>
          <w:rFonts w:eastAsia="Tahoma"/>
          <w:sz w:val="24"/>
          <w:szCs w:val="24"/>
          <w:u w:val="single"/>
        </w:rPr>
      </w:pPr>
      <w:r w:rsidRPr="002C2B84">
        <w:rPr>
          <w:rFonts w:eastAsia="Tahoma"/>
          <w:sz w:val="24"/>
          <w:szCs w:val="24"/>
        </w:rPr>
        <w:t xml:space="preserve"> </w:t>
      </w:r>
      <w:r w:rsidRPr="002C2B84">
        <w:rPr>
          <w:rFonts w:eastAsia="Tahoma"/>
          <w:b/>
          <w:sz w:val="24"/>
          <w:szCs w:val="24"/>
          <w:u w:val="single"/>
        </w:rPr>
        <w:t>GİRDİLER</w:t>
      </w:r>
    </w:p>
    <w:p w14:paraId="10799A8B" w14:textId="77777777" w:rsidR="00001FCC" w:rsidRPr="002C2B84" w:rsidRDefault="00B443DE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Güvenlik ihlali delilleri,</w:t>
      </w:r>
    </w:p>
    <w:p w14:paraId="242A8523" w14:textId="77777777" w:rsidR="00001FCC" w:rsidRPr="002C2B84" w:rsidRDefault="00B443DE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Kağıt üzerindeki dokümanlar için; metnin orijinali, metni kimin bulduğu, nerede bulunduğu, ne zaman bulunduğu ve kimin tanıklık ettiği ile ilgili kayıtlar,</w:t>
      </w:r>
    </w:p>
    <w:p w14:paraId="0E4263DD" w14:textId="77777777" w:rsidR="00001FCC" w:rsidRPr="002C2B84" w:rsidRDefault="00B443DE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Bilgisayar medyasında bulunan bilgiler için; ulaşılabilirliğin sağlanmasını garantilemek için tüm taşınabilir medya, hard disk ya da hafızada bulunan bilgilerin taslak ve kopyaları.</w:t>
      </w:r>
    </w:p>
    <w:p w14:paraId="23FDC817" w14:textId="77777777" w:rsidR="00001FCC" w:rsidRPr="002C2B84" w:rsidRDefault="00001FCC">
      <w:pPr>
        <w:tabs>
          <w:tab w:val="left" w:pos="284"/>
          <w:tab w:val="left" w:pos="993"/>
        </w:tabs>
        <w:spacing w:line="360" w:lineRule="auto"/>
        <w:rPr>
          <w:rFonts w:eastAsia="Tahoma"/>
          <w:sz w:val="24"/>
          <w:szCs w:val="24"/>
        </w:rPr>
      </w:pPr>
    </w:p>
    <w:p w14:paraId="59F1D3AD" w14:textId="77777777" w:rsidR="00001FCC" w:rsidRPr="002C2B84" w:rsidRDefault="00B443DE">
      <w:pPr>
        <w:tabs>
          <w:tab w:val="left" w:pos="284"/>
        </w:tabs>
        <w:spacing w:line="360" w:lineRule="auto"/>
        <w:jc w:val="both"/>
        <w:rPr>
          <w:rFonts w:eastAsia="Tahoma"/>
          <w:sz w:val="24"/>
          <w:szCs w:val="24"/>
          <w:u w:val="single"/>
        </w:rPr>
      </w:pPr>
      <w:r w:rsidRPr="002C2B84">
        <w:rPr>
          <w:rFonts w:eastAsia="Tahoma"/>
          <w:b/>
          <w:sz w:val="24"/>
          <w:szCs w:val="24"/>
          <w:u w:val="single"/>
        </w:rPr>
        <w:t>ÇIKTILAR</w:t>
      </w:r>
    </w:p>
    <w:p w14:paraId="2D526BF7" w14:textId="77777777" w:rsidR="00001FCC" w:rsidRPr="002C2B84" w:rsidRDefault="00B443DE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Sorumlulukların durdurulması,</w:t>
      </w:r>
    </w:p>
    <w:p w14:paraId="4E04AD95" w14:textId="77777777" w:rsidR="00001FCC" w:rsidRPr="002C2B84" w:rsidRDefault="00B443DE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Varlıkların teslim edilmesi,</w:t>
      </w:r>
    </w:p>
    <w:p w14:paraId="24841894" w14:textId="77777777" w:rsidR="00001FCC" w:rsidRPr="002C2B84" w:rsidRDefault="00B443DE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t>Giriş haklarının iptali,</w:t>
      </w:r>
    </w:p>
    <w:p w14:paraId="7AAFAB5F" w14:textId="77777777" w:rsidR="00001FCC" w:rsidRPr="002C2B84" w:rsidRDefault="00B443DE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2C2B84">
        <w:rPr>
          <w:rFonts w:eastAsia="Tahoma"/>
          <w:sz w:val="24"/>
          <w:szCs w:val="24"/>
        </w:rPr>
        <w:lastRenderedPageBreak/>
        <w:t>Ciddi idari eksiklik davalarında süreç, kişinin görevlerinin, giriş haklarının ve muafiyetlerinin derhal elinden alınmasına, gerekli görülürse, hemen k</w:t>
      </w:r>
      <w:r w:rsidR="008B3078" w:rsidRPr="002C2B84">
        <w:rPr>
          <w:rFonts w:eastAsia="Tahoma"/>
          <w:sz w:val="24"/>
          <w:szCs w:val="24"/>
        </w:rPr>
        <w:t>urum</w:t>
      </w:r>
      <w:r w:rsidRPr="002C2B84">
        <w:rPr>
          <w:rFonts w:eastAsia="Tahoma"/>
          <w:sz w:val="24"/>
          <w:szCs w:val="24"/>
        </w:rPr>
        <w:t xml:space="preserve"> alanı dışına çıkarılmasını sağlamalıdır.</w:t>
      </w:r>
    </w:p>
    <w:p w14:paraId="404E51E6" w14:textId="77777777" w:rsidR="00001FCC" w:rsidRPr="002C2B84" w:rsidRDefault="00001FCC">
      <w:pPr>
        <w:tabs>
          <w:tab w:val="left" w:pos="284"/>
        </w:tabs>
        <w:spacing w:line="360" w:lineRule="auto"/>
        <w:rPr>
          <w:rFonts w:eastAsia="Tahoma"/>
          <w:color w:val="FF0000"/>
          <w:sz w:val="24"/>
          <w:szCs w:val="24"/>
        </w:rPr>
      </w:pPr>
    </w:p>
    <w:p w14:paraId="17A8BE19" w14:textId="77777777" w:rsidR="00196CAB" w:rsidRPr="002C2B84" w:rsidRDefault="00196CAB">
      <w:pPr>
        <w:tabs>
          <w:tab w:val="left" w:pos="284"/>
        </w:tabs>
        <w:spacing w:line="360" w:lineRule="auto"/>
        <w:rPr>
          <w:rFonts w:eastAsia="Tahoma"/>
          <w:color w:val="FF0000"/>
          <w:sz w:val="24"/>
          <w:szCs w:val="24"/>
        </w:rPr>
      </w:pPr>
    </w:p>
    <w:p w14:paraId="3F917AE2" w14:textId="77777777" w:rsidR="00001FCC" w:rsidRPr="002C2B84" w:rsidRDefault="00B443DE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PROSES AKIŞI VE YÖNTEM</w:t>
      </w:r>
    </w:p>
    <w:p w14:paraId="4B23F39D" w14:textId="77777777" w:rsidR="00001FCC" w:rsidRPr="002C2B84" w:rsidRDefault="00001FCC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tbl>
      <w:tblPr>
        <w:tblStyle w:val="a0"/>
        <w:tblW w:w="10146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924"/>
        <w:gridCol w:w="4178"/>
        <w:gridCol w:w="2273"/>
        <w:gridCol w:w="1265"/>
        <w:gridCol w:w="1506"/>
      </w:tblGrid>
      <w:tr w:rsidR="00001FCC" w:rsidRPr="002C2B84" w14:paraId="3A7922C1" w14:textId="77777777">
        <w:trPr>
          <w:trHeight w:val="7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9AC3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Sıra No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F04AE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İşlem Adı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358E3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Sorumlu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5AF7F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Referans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4300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Kayıt</w:t>
            </w:r>
          </w:p>
        </w:tc>
      </w:tr>
      <w:tr w:rsidR="00001FCC" w:rsidRPr="002C2B84" w14:paraId="718AF56D" w14:textId="77777777">
        <w:trPr>
          <w:trHeight w:val="70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71217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DDD3C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Disiplin prosedürü için ilgili belgeler, kayıtlarla dosya hazırlanır.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D41AF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Personelin Bulunduğu Birim Yöneticisi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D85DA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EDA4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Ön</w:t>
            </w:r>
            <w:r w:rsidR="00BD4894" w:rsidRPr="002C2B84">
              <w:rPr>
                <w:rFonts w:eastAsia="Tahoma"/>
                <w:sz w:val="24"/>
                <w:szCs w:val="24"/>
              </w:rPr>
              <w:t xml:space="preserve"> </w:t>
            </w:r>
            <w:r w:rsidRPr="002C2B84">
              <w:rPr>
                <w:rFonts w:eastAsia="Tahoma"/>
                <w:sz w:val="24"/>
                <w:szCs w:val="24"/>
              </w:rPr>
              <w:t>yazı</w:t>
            </w:r>
          </w:p>
          <w:p w14:paraId="29CD605B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Delil</w:t>
            </w:r>
          </w:p>
          <w:p w14:paraId="46F64A3E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</w:tr>
      <w:tr w:rsidR="00001FCC" w:rsidRPr="002C2B84" w14:paraId="7CDDE49F" w14:textId="77777777">
        <w:trPr>
          <w:trHeight w:val="11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64CAE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8B99A" w14:textId="77777777" w:rsidR="00001FCC" w:rsidRPr="002C2B84" w:rsidRDefault="00B443DE" w:rsidP="00BD4894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 xml:space="preserve">Dosyaya konu olan ihlal için personel veya </w:t>
            </w:r>
            <w:r w:rsidR="00BD4894" w:rsidRPr="002C2B84">
              <w:rPr>
                <w:rFonts w:eastAsia="Tahoma"/>
                <w:sz w:val="24"/>
                <w:szCs w:val="24"/>
              </w:rPr>
              <w:t>personellere disiplin prosedürünü</w:t>
            </w:r>
            <w:r w:rsidRPr="002C2B84">
              <w:rPr>
                <w:rFonts w:eastAsia="Tahoma"/>
                <w:sz w:val="24"/>
                <w:szCs w:val="24"/>
              </w:rPr>
              <w:t>n başladığına dair yazı tebliğ edilir.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535AA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Yetkili Amir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8AA1B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7E24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Tebliğ yazısı</w:t>
            </w:r>
          </w:p>
        </w:tc>
      </w:tr>
      <w:tr w:rsidR="00001FCC" w:rsidRPr="002C2B84" w14:paraId="6248C7FE" w14:textId="77777777">
        <w:trPr>
          <w:trHeight w:val="5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894C8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0A195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Gerekli savunmalar alınır.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C4AB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Rektörlükçe görevlendirilen soruşturmacı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CB168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C218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</w:tr>
      <w:tr w:rsidR="00001FCC" w:rsidRPr="002C2B84" w14:paraId="3FE306D6" w14:textId="77777777">
        <w:trPr>
          <w:trHeight w:val="8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D3ABC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30181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 xml:space="preserve">Görevlendirilen Soruşturmacı tarafından </w:t>
            </w:r>
            <w:r w:rsidR="00B443DE" w:rsidRPr="002C2B84">
              <w:rPr>
                <w:rFonts w:eastAsia="Tahoma"/>
                <w:sz w:val="24"/>
                <w:szCs w:val="24"/>
              </w:rPr>
              <w:t>deliller ve savunmalar incelenir.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DAF72" w14:textId="77777777" w:rsidR="00001FCC" w:rsidRPr="002C2B84" w:rsidRDefault="00C60041" w:rsidP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Soruşturmacı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06C60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BGYS Politikası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6F0B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</w:tr>
      <w:tr w:rsidR="00001FCC" w:rsidRPr="002C2B84" w14:paraId="38226CFC" w14:textId="77777777">
        <w:trPr>
          <w:trHeight w:val="4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A13BE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404E3" w14:textId="77777777" w:rsidR="00001FCC" w:rsidRPr="002C2B84" w:rsidRDefault="00C60041" w:rsidP="00840694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 xml:space="preserve">Soruşturmacı </w:t>
            </w:r>
            <w:r w:rsidR="00840694" w:rsidRPr="002C2B84">
              <w:rPr>
                <w:rFonts w:eastAsia="Tahoma"/>
                <w:sz w:val="24"/>
                <w:szCs w:val="24"/>
              </w:rPr>
              <w:t>soruşturma sonucunu üst amire teslim eder. Üst amir tarafından ceza verilirse ilgiliye tebliğ edilir.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C6063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Üst Amir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AB3B1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5B7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Tebliğ yazısı</w:t>
            </w:r>
          </w:p>
        </w:tc>
      </w:tr>
      <w:tr w:rsidR="00001FCC" w:rsidRPr="002C2B84" w14:paraId="12F457FE" w14:textId="77777777">
        <w:trPr>
          <w:trHeight w:val="4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DF88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B3209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Cezalar uygulanır.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B3DA4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Birim Amiri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832A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99C8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</w:tr>
      <w:tr w:rsidR="00001FCC" w:rsidRPr="002C2B84" w14:paraId="5FA10FD2" w14:textId="77777777">
        <w:trPr>
          <w:trHeight w:val="840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05695" w14:textId="77777777" w:rsidR="00001FCC" w:rsidRPr="002C2B84" w:rsidRDefault="00B443DE">
            <w:pPr>
              <w:tabs>
                <w:tab w:val="left" w:pos="284"/>
              </w:tabs>
              <w:spacing w:line="360" w:lineRule="auto"/>
              <w:jc w:val="center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b/>
                <w:sz w:val="24"/>
                <w:szCs w:val="24"/>
              </w:rPr>
              <w:t>7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66B85" w14:textId="77777777" w:rsidR="00001FCC" w:rsidRPr="002C2B84" w:rsidRDefault="00B443DE" w:rsidP="00BD4894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Adli bir takibe ihtiyaç varsa ilgili yasa, tüzük, yönetmelik ve usuller uygulanır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79B8A" w14:textId="77777777" w:rsidR="00001FCC" w:rsidRPr="002C2B84" w:rsidRDefault="00C60041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  <w:r w:rsidRPr="002C2B84">
              <w:rPr>
                <w:rFonts w:eastAsia="Tahoma"/>
                <w:sz w:val="24"/>
                <w:szCs w:val="24"/>
              </w:rPr>
              <w:t>Hukuk Birimi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6EF40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364D" w14:textId="77777777" w:rsidR="00001FCC" w:rsidRPr="002C2B84" w:rsidRDefault="00001FCC">
            <w:pPr>
              <w:tabs>
                <w:tab w:val="left" w:pos="284"/>
              </w:tabs>
              <w:spacing w:line="360" w:lineRule="auto"/>
              <w:rPr>
                <w:rFonts w:eastAsia="Tahoma"/>
                <w:sz w:val="24"/>
                <w:szCs w:val="24"/>
              </w:rPr>
            </w:pPr>
          </w:p>
        </w:tc>
      </w:tr>
    </w:tbl>
    <w:p w14:paraId="40E8E20D" w14:textId="77777777" w:rsidR="00001FCC" w:rsidRPr="002C2B84" w:rsidRDefault="00001FCC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p w14:paraId="4134E2BE" w14:textId="77777777" w:rsidR="008242D0" w:rsidRPr="002C2B84" w:rsidRDefault="008242D0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p w14:paraId="24EB5A95" w14:textId="77777777" w:rsidR="00001FCC" w:rsidRPr="002C2B84" w:rsidRDefault="00001FCC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p w14:paraId="73FECB82" w14:textId="77777777" w:rsidR="00001FCC" w:rsidRPr="002C2B84" w:rsidRDefault="00001FCC">
      <w:pPr>
        <w:tabs>
          <w:tab w:val="left" w:pos="284"/>
        </w:tabs>
        <w:spacing w:line="360" w:lineRule="auto"/>
        <w:rPr>
          <w:rFonts w:eastAsia="Tahoma"/>
          <w:sz w:val="24"/>
          <w:szCs w:val="24"/>
        </w:rPr>
      </w:pPr>
    </w:p>
    <w:p w14:paraId="10D24213" w14:textId="77777777" w:rsidR="00001FCC" w:rsidRPr="002C2B84" w:rsidRDefault="00B443DE" w:rsidP="00C60041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lastRenderedPageBreak/>
        <w:t>PERFORMANS KRİTERİ</w:t>
      </w:r>
    </w:p>
    <w:p w14:paraId="6D3D9284" w14:textId="77777777" w:rsidR="00001FCC" w:rsidRPr="002C2B84" w:rsidRDefault="00B443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32"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t>-</w:t>
      </w:r>
    </w:p>
    <w:p w14:paraId="6E2AB3F5" w14:textId="77777777" w:rsidR="00C60041" w:rsidRPr="002C2B84" w:rsidRDefault="00C600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32" w:right="181"/>
        <w:rPr>
          <w:rFonts w:eastAsia="Tahoma"/>
          <w:color w:val="000000"/>
          <w:sz w:val="24"/>
          <w:szCs w:val="24"/>
        </w:rPr>
      </w:pPr>
    </w:p>
    <w:p w14:paraId="7746AE52" w14:textId="77777777" w:rsidR="00001FCC" w:rsidRPr="002C2B84" w:rsidRDefault="00B443DE" w:rsidP="00C60041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t xml:space="preserve">PROSES SAHİBİ </w:t>
      </w:r>
    </w:p>
    <w:p w14:paraId="6D9A646A" w14:textId="77777777" w:rsidR="00001FCC" w:rsidRPr="002C2B84" w:rsidRDefault="00C600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color w:val="000000"/>
          <w:sz w:val="24"/>
          <w:szCs w:val="24"/>
        </w:rPr>
        <w:t>Personel Daire Başkanlığı</w:t>
      </w:r>
    </w:p>
    <w:p w14:paraId="570B349C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</w:p>
    <w:p w14:paraId="63EE397C" w14:textId="77777777" w:rsidR="00001FCC" w:rsidRPr="002C2B84" w:rsidRDefault="00B443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t>8.</w:t>
      </w:r>
      <w:r w:rsidRPr="002C2B84">
        <w:rPr>
          <w:rFonts w:eastAsia="Tahoma"/>
          <w:b/>
          <w:color w:val="000000"/>
          <w:sz w:val="24"/>
          <w:szCs w:val="24"/>
        </w:rPr>
        <w:tab/>
        <w:t xml:space="preserve">İLGİLİ DOKÜMANLAR </w:t>
      </w:r>
    </w:p>
    <w:p w14:paraId="45202AB4" w14:textId="77777777" w:rsidR="00001FCC" w:rsidRPr="002C2B84" w:rsidRDefault="00B443DE">
      <w:pPr>
        <w:numPr>
          <w:ilvl w:val="0"/>
          <w:numId w:val="3"/>
        </w:numPr>
        <w:tabs>
          <w:tab w:val="left" w:pos="284"/>
        </w:tabs>
        <w:spacing w:line="360" w:lineRule="auto"/>
        <w:ind w:hanging="360"/>
        <w:rPr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Önyazı</w:t>
      </w:r>
    </w:p>
    <w:p w14:paraId="7E13215D" w14:textId="77777777" w:rsidR="00001FCC" w:rsidRPr="002C2B84" w:rsidRDefault="00B443DE">
      <w:pPr>
        <w:numPr>
          <w:ilvl w:val="0"/>
          <w:numId w:val="3"/>
        </w:numPr>
        <w:tabs>
          <w:tab w:val="left" w:pos="284"/>
        </w:tabs>
        <w:spacing w:line="360" w:lineRule="auto"/>
        <w:ind w:hanging="360"/>
        <w:rPr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Delil</w:t>
      </w:r>
    </w:p>
    <w:p w14:paraId="3EF3F528" w14:textId="77777777" w:rsidR="00001FCC" w:rsidRPr="002C2B84" w:rsidRDefault="00B443DE">
      <w:pPr>
        <w:numPr>
          <w:ilvl w:val="0"/>
          <w:numId w:val="3"/>
        </w:numPr>
        <w:spacing w:line="360" w:lineRule="auto"/>
        <w:ind w:hanging="360"/>
        <w:rPr>
          <w:sz w:val="24"/>
          <w:szCs w:val="24"/>
        </w:rPr>
      </w:pPr>
      <w:r w:rsidRPr="002C2B84">
        <w:rPr>
          <w:rFonts w:eastAsia="Tahoma"/>
          <w:b/>
          <w:sz w:val="24"/>
          <w:szCs w:val="24"/>
        </w:rPr>
        <w:t>Tebliğ yazısı</w:t>
      </w:r>
    </w:p>
    <w:p w14:paraId="3010C97D" w14:textId="77777777" w:rsidR="00001FCC" w:rsidRPr="002C2B84" w:rsidRDefault="00B443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  <w:r w:rsidRPr="002C2B84">
        <w:rPr>
          <w:rFonts w:eastAsia="Tahoma"/>
          <w:b/>
          <w:color w:val="000000"/>
          <w:sz w:val="24"/>
          <w:szCs w:val="24"/>
        </w:rPr>
        <w:t xml:space="preserve">9. SİSTEM REFERANSLARI </w:t>
      </w:r>
    </w:p>
    <w:p w14:paraId="0F0E7E9B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</w:p>
    <w:p w14:paraId="3A1BAAA5" w14:textId="77777777" w:rsidR="00001FCC" w:rsidRPr="002C2B84" w:rsidRDefault="00B443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181"/>
        <w:jc w:val="both"/>
        <w:rPr>
          <w:rFonts w:eastAsia="Tahoma"/>
          <w:color w:val="0070C0"/>
          <w:sz w:val="24"/>
          <w:szCs w:val="24"/>
        </w:rPr>
      </w:pPr>
      <w:r w:rsidRPr="002C2B84">
        <w:rPr>
          <w:rFonts w:eastAsia="Tahoma"/>
          <w:color w:val="0070C0"/>
          <w:sz w:val="24"/>
          <w:szCs w:val="24"/>
        </w:rPr>
        <w:t xml:space="preserve">  TS EN ISO 27001:2013 Bilgi Güvenliği Yönetim Sistemi</w:t>
      </w:r>
    </w:p>
    <w:p w14:paraId="526E4778" w14:textId="77777777" w:rsidR="00001FCC" w:rsidRPr="002C2B84" w:rsidRDefault="00001F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81"/>
        <w:rPr>
          <w:rFonts w:eastAsia="Tahoma"/>
          <w:color w:val="000000"/>
          <w:sz w:val="24"/>
          <w:szCs w:val="24"/>
        </w:rPr>
      </w:pPr>
    </w:p>
    <w:sectPr w:rsidR="00001FCC" w:rsidRPr="002C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610B" w14:textId="77777777" w:rsidR="000A675D" w:rsidRDefault="000A675D">
      <w:r>
        <w:separator/>
      </w:r>
    </w:p>
  </w:endnote>
  <w:endnote w:type="continuationSeparator" w:id="0">
    <w:p w14:paraId="549A71EE" w14:textId="77777777" w:rsidR="000A675D" w:rsidRDefault="000A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F250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10348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111"/>
      <w:gridCol w:w="2977"/>
      <w:gridCol w:w="3260"/>
    </w:tblGrid>
    <w:tr w:rsidR="00001FCC" w14:paraId="3F1217CA" w14:textId="77777777">
      <w:trPr>
        <w:trHeight w:val="220"/>
      </w:trPr>
      <w:tc>
        <w:tcPr>
          <w:tcW w:w="4111" w:type="dxa"/>
          <w:tcBorders>
            <w:top w:val="single" w:sz="4" w:space="0" w:color="000000"/>
            <w:bottom w:val="nil"/>
          </w:tcBorders>
        </w:tcPr>
        <w:p w14:paraId="0DFFF042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rPr>
              <w:rFonts w:eastAsia="Arial"/>
              <w:color w:val="000000"/>
            </w:rPr>
          </w:pPr>
          <w:r w:rsidRPr="00196CAB">
            <w:rPr>
              <w:rFonts w:eastAsia="Arial"/>
              <w:b/>
              <w:color w:val="000000"/>
            </w:rPr>
            <w:t>Revizyon Nedeni:</w:t>
          </w:r>
        </w:p>
      </w:tc>
      <w:tc>
        <w:tcPr>
          <w:tcW w:w="2977" w:type="dxa"/>
          <w:vAlign w:val="center"/>
        </w:tcPr>
        <w:p w14:paraId="2EB0BBEA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 w:rsidRPr="00196CAB">
            <w:rPr>
              <w:rFonts w:eastAsia="Arial"/>
              <w:b/>
              <w:color w:val="000000"/>
            </w:rPr>
            <w:t>Hazırlayan</w:t>
          </w:r>
        </w:p>
      </w:tc>
      <w:tc>
        <w:tcPr>
          <w:tcW w:w="3260" w:type="dxa"/>
          <w:vAlign w:val="center"/>
        </w:tcPr>
        <w:p w14:paraId="4D25D2BA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 w:rsidRPr="00196CAB">
            <w:rPr>
              <w:rFonts w:eastAsia="Arial"/>
              <w:b/>
              <w:color w:val="000000"/>
            </w:rPr>
            <w:t>Onaylayan</w:t>
          </w:r>
        </w:p>
      </w:tc>
    </w:tr>
    <w:tr w:rsidR="00001FCC" w14:paraId="628F4FC3" w14:textId="77777777">
      <w:trPr>
        <w:trHeight w:val="180"/>
      </w:trPr>
      <w:tc>
        <w:tcPr>
          <w:tcW w:w="4111" w:type="dxa"/>
          <w:vMerge w:val="restart"/>
          <w:tcBorders>
            <w:top w:val="nil"/>
          </w:tcBorders>
        </w:tcPr>
        <w:p w14:paraId="342781A4" w14:textId="77777777" w:rsidR="00E777CC" w:rsidRPr="00196CAB" w:rsidRDefault="00E777CC" w:rsidP="00E777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p w14:paraId="6AA54193" w14:textId="77777777" w:rsidR="00001FCC" w:rsidRPr="00196CAB" w:rsidRDefault="00001F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Arial"/>
              <w:color w:val="000000"/>
            </w:rPr>
          </w:pPr>
        </w:p>
      </w:tc>
      <w:tc>
        <w:tcPr>
          <w:tcW w:w="2977" w:type="dxa"/>
          <w:vAlign w:val="center"/>
        </w:tcPr>
        <w:p w14:paraId="60D18BCD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 w:rsidRPr="00196CAB">
            <w:rPr>
              <w:rFonts w:eastAsia="Arial"/>
              <w:color w:val="000000"/>
            </w:rPr>
            <w:t>Yönetim Temsilcisi</w:t>
          </w:r>
        </w:p>
      </w:tc>
      <w:tc>
        <w:tcPr>
          <w:tcW w:w="3260" w:type="dxa"/>
          <w:vAlign w:val="center"/>
        </w:tcPr>
        <w:p w14:paraId="61ED2AC9" w14:textId="77777777" w:rsidR="00001FCC" w:rsidRPr="00196CAB" w:rsidRDefault="00196CAB" w:rsidP="00196C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>
            <w:rPr>
              <w:rFonts w:eastAsia="Arial"/>
              <w:color w:val="000000"/>
            </w:rPr>
            <w:t>Bilgi Işlem Daire Başkanı</w:t>
          </w:r>
        </w:p>
      </w:tc>
    </w:tr>
    <w:tr w:rsidR="00001FCC" w14:paraId="5ABC9841" w14:textId="77777777">
      <w:trPr>
        <w:trHeight w:val="500"/>
      </w:trPr>
      <w:tc>
        <w:tcPr>
          <w:tcW w:w="4111" w:type="dxa"/>
          <w:vMerge/>
          <w:tcBorders>
            <w:top w:val="nil"/>
          </w:tcBorders>
        </w:tcPr>
        <w:p w14:paraId="2EF3D783" w14:textId="77777777" w:rsidR="00001FCC" w:rsidRPr="00196CAB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color w:val="000000"/>
            </w:rPr>
          </w:pPr>
        </w:p>
      </w:tc>
      <w:tc>
        <w:tcPr>
          <w:tcW w:w="2977" w:type="dxa"/>
          <w:vAlign w:val="center"/>
        </w:tcPr>
        <w:p w14:paraId="5B9F971A" w14:textId="77777777" w:rsidR="00001FCC" w:rsidRPr="00196CAB" w:rsidRDefault="003D73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 w:rsidRPr="00196CAB">
            <w:rPr>
              <w:rFonts w:eastAsia="Arial"/>
              <w:color w:val="000000"/>
            </w:rPr>
            <w:t>Filiz ATEŞMAN</w:t>
          </w:r>
        </w:p>
      </w:tc>
      <w:tc>
        <w:tcPr>
          <w:tcW w:w="3260" w:type="dxa"/>
          <w:vAlign w:val="center"/>
        </w:tcPr>
        <w:p w14:paraId="1474AA79" w14:textId="044DCC5D" w:rsidR="00001FCC" w:rsidRPr="00196CAB" w:rsidRDefault="001B22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Arial"/>
              <w:color w:val="000000"/>
            </w:rPr>
          </w:pPr>
          <w:r>
            <w:rPr>
              <w:color w:val="000000"/>
            </w:rPr>
            <w:t>Cahit KURT</w:t>
          </w:r>
        </w:p>
      </w:tc>
    </w:tr>
  </w:tbl>
  <w:p w14:paraId="1029ED94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8ABD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A182" w14:textId="77777777" w:rsidR="000A675D" w:rsidRDefault="000A675D">
      <w:r>
        <w:separator/>
      </w:r>
    </w:p>
  </w:footnote>
  <w:footnote w:type="continuationSeparator" w:id="0">
    <w:p w14:paraId="37590D4C" w14:textId="77777777" w:rsidR="000A675D" w:rsidRDefault="000A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F457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DF69" w14:textId="77777777" w:rsidR="00001FCC" w:rsidRDefault="00001F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1"/>
      <w:tblW w:w="104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103"/>
      <w:gridCol w:w="1559"/>
      <w:gridCol w:w="1559"/>
    </w:tblGrid>
    <w:tr w:rsidR="00001FCC" w14:paraId="2FD7928C" w14:textId="77777777">
      <w:trPr>
        <w:trHeight w:val="40"/>
      </w:trPr>
      <w:tc>
        <w:tcPr>
          <w:tcW w:w="2197" w:type="dxa"/>
          <w:vMerge w:val="restart"/>
          <w:vAlign w:val="center"/>
        </w:tcPr>
        <w:p w14:paraId="24E174A5" w14:textId="01FD90DD" w:rsidR="00001FCC" w:rsidRDefault="005864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F46F2E7" wp14:editId="0686F1F9">
                <wp:extent cx="753745" cy="760730"/>
                <wp:effectExtent l="0" t="0" r="8255" b="1270"/>
                <wp:docPr id="1" name="Resim 1" descr="comu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844ABF0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color w:val="000000"/>
              <w:sz w:val="28"/>
              <w:szCs w:val="28"/>
            </w:rPr>
          </w:pPr>
          <w:r w:rsidRPr="00196CAB">
            <w:rPr>
              <w:rFonts w:eastAsia="Arial"/>
              <w:b/>
              <w:color w:val="000000"/>
              <w:sz w:val="28"/>
              <w:szCs w:val="28"/>
            </w:rPr>
            <w:t>PROSEDÜR</w:t>
          </w:r>
        </w:p>
      </w:tc>
      <w:tc>
        <w:tcPr>
          <w:tcW w:w="1559" w:type="dxa"/>
          <w:vAlign w:val="center"/>
        </w:tcPr>
        <w:p w14:paraId="7D8519C2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 xml:space="preserve">SAYFA NO             </w:t>
          </w:r>
        </w:p>
      </w:tc>
      <w:tc>
        <w:tcPr>
          <w:tcW w:w="1559" w:type="dxa"/>
          <w:vAlign w:val="center"/>
        </w:tcPr>
        <w:p w14:paraId="763A262D" w14:textId="23027935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fldChar w:fldCharType="begin"/>
          </w:r>
          <w:r w:rsidRPr="00196CAB">
            <w:rPr>
              <w:rFonts w:eastAsia="Arial"/>
              <w:sz w:val="16"/>
              <w:szCs w:val="16"/>
            </w:rPr>
            <w:instrText>PAGE</w:instrText>
          </w:r>
          <w:r w:rsidRPr="00196CAB">
            <w:rPr>
              <w:rFonts w:eastAsia="Arial"/>
              <w:sz w:val="16"/>
              <w:szCs w:val="16"/>
            </w:rPr>
            <w:fldChar w:fldCharType="separate"/>
          </w:r>
          <w:r w:rsidR="00586494">
            <w:rPr>
              <w:rFonts w:eastAsia="Arial"/>
              <w:noProof/>
              <w:sz w:val="16"/>
              <w:szCs w:val="16"/>
            </w:rPr>
            <w:t>4</w:t>
          </w:r>
          <w:r w:rsidRPr="00196CAB">
            <w:rPr>
              <w:rFonts w:eastAsia="Arial"/>
              <w:sz w:val="16"/>
              <w:szCs w:val="16"/>
            </w:rPr>
            <w:fldChar w:fldCharType="end"/>
          </w:r>
          <w:r w:rsidRPr="00196CAB">
            <w:rPr>
              <w:rFonts w:eastAsia="Arial"/>
              <w:sz w:val="16"/>
              <w:szCs w:val="16"/>
            </w:rPr>
            <w:t xml:space="preserve"> / </w:t>
          </w:r>
          <w:r w:rsidRPr="00196CAB">
            <w:rPr>
              <w:rFonts w:eastAsia="Arial"/>
              <w:sz w:val="16"/>
              <w:szCs w:val="16"/>
            </w:rPr>
            <w:fldChar w:fldCharType="begin"/>
          </w:r>
          <w:r w:rsidRPr="00196CAB">
            <w:rPr>
              <w:rFonts w:eastAsia="Arial"/>
              <w:sz w:val="16"/>
              <w:szCs w:val="16"/>
            </w:rPr>
            <w:instrText>NUMPAGES</w:instrText>
          </w:r>
          <w:r w:rsidRPr="00196CAB">
            <w:rPr>
              <w:rFonts w:eastAsia="Arial"/>
              <w:sz w:val="16"/>
              <w:szCs w:val="16"/>
            </w:rPr>
            <w:fldChar w:fldCharType="separate"/>
          </w:r>
          <w:r w:rsidR="00586494">
            <w:rPr>
              <w:rFonts w:eastAsia="Arial"/>
              <w:noProof/>
              <w:sz w:val="16"/>
              <w:szCs w:val="16"/>
            </w:rPr>
            <w:t>4</w:t>
          </w:r>
          <w:r w:rsidRPr="00196CAB">
            <w:rPr>
              <w:rFonts w:eastAsia="Arial"/>
              <w:sz w:val="16"/>
              <w:szCs w:val="16"/>
            </w:rPr>
            <w:fldChar w:fldCharType="end"/>
          </w:r>
        </w:p>
      </w:tc>
    </w:tr>
    <w:tr w:rsidR="00001FCC" w14:paraId="4B193334" w14:textId="77777777">
      <w:trPr>
        <w:trHeight w:val="160"/>
      </w:trPr>
      <w:tc>
        <w:tcPr>
          <w:tcW w:w="2197" w:type="dxa"/>
          <w:vMerge/>
          <w:vAlign w:val="center"/>
        </w:tcPr>
        <w:p w14:paraId="7C1DC49F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5103" w:type="dxa"/>
          <w:vMerge/>
          <w:vAlign w:val="center"/>
        </w:tcPr>
        <w:p w14:paraId="1D0CF7B5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9" w:type="dxa"/>
          <w:vAlign w:val="center"/>
        </w:tcPr>
        <w:p w14:paraId="15879C9E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 xml:space="preserve">DOKÜMAN NO   </w:t>
          </w:r>
        </w:p>
      </w:tc>
      <w:tc>
        <w:tcPr>
          <w:tcW w:w="1559" w:type="dxa"/>
          <w:vAlign w:val="center"/>
        </w:tcPr>
        <w:p w14:paraId="0E902647" w14:textId="31FE3D51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>P</w:t>
          </w:r>
          <w:r w:rsidR="00565DE1">
            <w:rPr>
              <w:rFonts w:eastAsia="Arial"/>
              <w:sz w:val="16"/>
              <w:szCs w:val="16"/>
            </w:rPr>
            <w:t>RS</w:t>
          </w:r>
          <w:r w:rsidRPr="00196CAB">
            <w:rPr>
              <w:rFonts w:eastAsia="Arial"/>
              <w:sz w:val="16"/>
              <w:szCs w:val="16"/>
            </w:rPr>
            <w:t>.14</w:t>
          </w:r>
        </w:p>
      </w:tc>
    </w:tr>
    <w:tr w:rsidR="00001FCC" w14:paraId="4F34BE7B" w14:textId="77777777">
      <w:trPr>
        <w:trHeight w:val="40"/>
      </w:trPr>
      <w:tc>
        <w:tcPr>
          <w:tcW w:w="2197" w:type="dxa"/>
          <w:vMerge/>
          <w:vAlign w:val="center"/>
        </w:tcPr>
        <w:p w14:paraId="20CE41B0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5103" w:type="dxa"/>
          <w:vMerge/>
          <w:vAlign w:val="center"/>
        </w:tcPr>
        <w:p w14:paraId="23BAB0B7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9" w:type="dxa"/>
          <w:vAlign w:val="center"/>
        </w:tcPr>
        <w:p w14:paraId="4C1A23A9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>YAYIN TAR.</w:t>
          </w:r>
        </w:p>
      </w:tc>
      <w:tc>
        <w:tcPr>
          <w:tcW w:w="1559" w:type="dxa"/>
          <w:vAlign w:val="center"/>
        </w:tcPr>
        <w:p w14:paraId="21D6F9AA" w14:textId="77777777" w:rsidR="00001FCC" w:rsidRPr="00196CAB" w:rsidRDefault="0061667A">
          <w:pPr>
            <w:rPr>
              <w:rFonts w:eastAsia="Arial"/>
              <w:sz w:val="16"/>
              <w:szCs w:val="16"/>
            </w:rPr>
          </w:pPr>
          <w:r w:rsidRPr="00196CAB">
            <w:rPr>
              <w:sz w:val="16"/>
              <w:szCs w:val="16"/>
            </w:rPr>
            <w:t>12.12</w:t>
          </w:r>
          <w:r w:rsidR="00B443DE" w:rsidRPr="00196CAB">
            <w:rPr>
              <w:sz w:val="16"/>
              <w:szCs w:val="16"/>
            </w:rPr>
            <w:t>.2018</w:t>
          </w:r>
        </w:p>
      </w:tc>
    </w:tr>
    <w:tr w:rsidR="00001FCC" w14:paraId="779D9E26" w14:textId="77777777">
      <w:trPr>
        <w:trHeight w:val="40"/>
      </w:trPr>
      <w:tc>
        <w:tcPr>
          <w:tcW w:w="2197" w:type="dxa"/>
          <w:vMerge/>
          <w:vAlign w:val="center"/>
        </w:tcPr>
        <w:p w14:paraId="357C58B7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5103" w:type="dxa"/>
          <w:vMerge/>
          <w:vAlign w:val="center"/>
        </w:tcPr>
        <w:p w14:paraId="7E642AC2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9" w:type="dxa"/>
          <w:vAlign w:val="center"/>
        </w:tcPr>
        <w:p w14:paraId="63C96337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 xml:space="preserve">REVİZYON NO   </w:t>
          </w:r>
        </w:p>
      </w:tc>
      <w:tc>
        <w:tcPr>
          <w:tcW w:w="1559" w:type="dxa"/>
          <w:vAlign w:val="center"/>
        </w:tcPr>
        <w:p w14:paraId="3FF00FDE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>00</w:t>
          </w:r>
        </w:p>
      </w:tc>
    </w:tr>
    <w:tr w:rsidR="00001FCC" w14:paraId="2E1E5703" w14:textId="77777777">
      <w:trPr>
        <w:trHeight w:val="40"/>
      </w:trPr>
      <w:tc>
        <w:tcPr>
          <w:tcW w:w="2197" w:type="dxa"/>
          <w:vMerge/>
          <w:vAlign w:val="center"/>
        </w:tcPr>
        <w:p w14:paraId="74C90439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5103" w:type="dxa"/>
          <w:vMerge/>
          <w:vAlign w:val="center"/>
        </w:tcPr>
        <w:p w14:paraId="5EB3F89D" w14:textId="77777777" w:rsidR="00001FCC" w:rsidRDefault="00001F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9" w:type="dxa"/>
          <w:tcBorders>
            <w:bottom w:val="single" w:sz="4" w:space="0" w:color="000000"/>
          </w:tcBorders>
          <w:vAlign w:val="center"/>
        </w:tcPr>
        <w:p w14:paraId="39558D41" w14:textId="77777777" w:rsidR="00001FCC" w:rsidRPr="00196CAB" w:rsidRDefault="00B443DE">
          <w:pPr>
            <w:rPr>
              <w:rFonts w:eastAsia="Arial"/>
              <w:sz w:val="16"/>
              <w:szCs w:val="16"/>
            </w:rPr>
          </w:pPr>
          <w:r w:rsidRPr="00196CAB">
            <w:rPr>
              <w:rFonts w:eastAsia="Arial"/>
              <w:sz w:val="16"/>
              <w:szCs w:val="16"/>
            </w:rPr>
            <w:t xml:space="preserve">REVİZYON TARİHİ </w:t>
          </w:r>
        </w:p>
      </w:tc>
      <w:tc>
        <w:tcPr>
          <w:tcW w:w="1559" w:type="dxa"/>
          <w:tcBorders>
            <w:bottom w:val="single" w:sz="4" w:space="0" w:color="000000"/>
          </w:tcBorders>
          <w:vAlign w:val="center"/>
        </w:tcPr>
        <w:p w14:paraId="2218D7DF" w14:textId="77777777" w:rsidR="00001FCC" w:rsidRPr="00196CAB" w:rsidRDefault="00001FCC">
          <w:pPr>
            <w:rPr>
              <w:rFonts w:eastAsia="Arial"/>
              <w:sz w:val="16"/>
              <w:szCs w:val="16"/>
            </w:rPr>
          </w:pPr>
        </w:p>
      </w:tc>
    </w:tr>
    <w:tr w:rsidR="00001FCC" w14:paraId="2B2872EF" w14:textId="77777777">
      <w:trPr>
        <w:trHeight w:val="340"/>
      </w:trPr>
      <w:tc>
        <w:tcPr>
          <w:tcW w:w="2197" w:type="dxa"/>
          <w:tcBorders>
            <w:bottom w:val="single" w:sz="4" w:space="0" w:color="000000"/>
          </w:tcBorders>
          <w:vAlign w:val="center"/>
        </w:tcPr>
        <w:p w14:paraId="5CFCCF20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color w:val="000000"/>
            </w:rPr>
          </w:pPr>
          <w:r w:rsidRPr="00196CAB">
            <w:rPr>
              <w:rFonts w:eastAsia="Calibri"/>
              <w:b/>
              <w:color w:val="000000"/>
            </w:rPr>
            <w:t>KONU</w:t>
          </w:r>
        </w:p>
      </w:tc>
      <w:tc>
        <w:tcPr>
          <w:tcW w:w="8221" w:type="dxa"/>
          <w:gridSpan w:val="3"/>
          <w:tcBorders>
            <w:bottom w:val="single" w:sz="4" w:space="0" w:color="000000"/>
          </w:tcBorders>
          <w:vAlign w:val="center"/>
        </w:tcPr>
        <w:p w14:paraId="69A2F1F0" w14:textId="77777777" w:rsidR="00001FCC" w:rsidRPr="00196CAB" w:rsidRDefault="00B44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eastAsia="Arial"/>
              <w:color w:val="000000"/>
            </w:rPr>
          </w:pPr>
          <w:r w:rsidRPr="00196CAB">
            <w:rPr>
              <w:rFonts w:eastAsia="Arial"/>
              <w:color w:val="000000"/>
            </w:rPr>
            <w:t>DİSİPLİN PROSEDÜRÜ</w:t>
          </w:r>
        </w:p>
      </w:tc>
    </w:tr>
  </w:tbl>
  <w:p w14:paraId="49CE0022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5B00" w14:textId="77777777" w:rsidR="00001FCC" w:rsidRDefault="00001F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2A9"/>
    <w:multiLevelType w:val="multilevel"/>
    <w:tmpl w:val="C336AAF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8473E4"/>
    <w:multiLevelType w:val="hybridMultilevel"/>
    <w:tmpl w:val="2B1C3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7D96"/>
    <w:multiLevelType w:val="multilevel"/>
    <w:tmpl w:val="39BEACE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0560E03"/>
    <w:multiLevelType w:val="multilevel"/>
    <w:tmpl w:val="B576E7D6"/>
    <w:lvl w:ilvl="0">
      <w:start w:val="1"/>
      <w:numFmt w:val="decimal"/>
      <w:lvlText w:val="%1.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50E5D00"/>
    <w:multiLevelType w:val="multilevel"/>
    <w:tmpl w:val="0D167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8BF18EA"/>
    <w:multiLevelType w:val="multilevel"/>
    <w:tmpl w:val="1A3E2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C"/>
    <w:rsid w:val="00001FCC"/>
    <w:rsid w:val="000A675D"/>
    <w:rsid w:val="000D11A7"/>
    <w:rsid w:val="0015257D"/>
    <w:rsid w:val="00196CAB"/>
    <w:rsid w:val="001A0D4F"/>
    <w:rsid w:val="001A7A5C"/>
    <w:rsid w:val="001B22A9"/>
    <w:rsid w:val="002C2B84"/>
    <w:rsid w:val="003D7326"/>
    <w:rsid w:val="004E2369"/>
    <w:rsid w:val="004E5848"/>
    <w:rsid w:val="00523719"/>
    <w:rsid w:val="00565DE1"/>
    <w:rsid w:val="00586494"/>
    <w:rsid w:val="0061667A"/>
    <w:rsid w:val="007A281A"/>
    <w:rsid w:val="008242D0"/>
    <w:rsid w:val="00840694"/>
    <w:rsid w:val="008B3078"/>
    <w:rsid w:val="008C6891"/>
    <w:rsid w:val="00973B93"/>
    <w:rsid w:val="00B443DE"/>
    <w:rsid w:val="00B50336"/>
    <w:rsid w:val="00BC231B"/>
    <w:rsid w:val="00BD4894"/>
    <w:rsid w:val="00C60041"/>
    <w:rsid w:val="00D309B4"/>
    <w:rsid w:val="00DB5B48"/>
    <w:rsid w:val="00E777CC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6ECE"/>
  <w15:docId w15:val="{A01284FA-7C37-4791-9966-2883316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9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73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326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rsid w:val="00196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1A7A5C"/>
    <w:rPr>
      <w:b/>
      <w:bCs/>
    </w:rPr>
  </w:style>
  <w:style w:type="paragraph" w:styleId="ListeParagraf">
    <w:name w:val="List Paragraph"/>
    <w:basedOn w:val="Normal"/>
    <w:uiPriority w:val="34"/>
    <w:qFormat/>
    <w:rsid w:val="001A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50AA-FB98-4B01-8BCC-815B4A9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2022-12-14T08:06:00Z</cp:lastPrinted>
  <dcterms:created xsi:type="dcterms:W3CDTF">2023-04-11T08:06:00Z</dcterms:created>
  <dcterms:modified xsi:type="dcterms:W3CDTF">2023-04-11T08:06:00Z</dcterms:modified>
</cp:coreProperties>
</file>