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F0F8" w14:textId="77777777" w:rsidR="00395C33" w:rsidRDefault="00395C33">
      <w:pPr>
        <w:pStyle w:val="GvdeMetni"/>
        <w:ind w:left="0"/>
        <w:jc w:val="left"/>
        <w:rPr>
          <w:sz w:val="20"/>
        </w:rPr>
      </w:pPr>
    </w:p>
    <w:p w14:paraId="4C4DA8E6" w14:textId="1C44D531" w:rsidR="00C535FA" w:rsidRDefault="00C535FA">
      <w:pPr>
        <w:pStyle w:val="GvdeMetni"/>
        <w:ind w:left="0"/>
        <w:jc w:val="left"/>
        <w:rPr>
          <w:sz w:val="20"/>
        </w:rPr>
      </w:pPr>
    </w:p>
    <w:p w14:paraId="5A554C81" w14:textId="7A54B8D2" w:rsidR="00C535FA" w:rsidRDefault="009F2221" w:rsidP="009F2221">
      <w:pPr>
        <w:pStyle w:val="GvdeMetni"/>
        <w:ind w:left="0"/>
        <w:jc w:val="center"/>
        <w:rPr>
          <w:sz w:val="27"/>
        </w:rPr>
      </w:pPr>
      <w:r>
        <w:rPr>
          <w:sz w:val="27"/>
        </w:rPr>
        <w:t>TOPLU İŞ</w:t>
      </w:r>
      <w:r w:rsidR="00DC6EB5">
        <w:rPr>
          <w:sz w:val="27"/>
        </w:rPr>
        <w:t xml:space="preserve"> HUKUKU</w:t>
      </w:r>
      <w:r>
        <w:rPr>
          <w:sz w:val="27"/>
        </w:rPr>
        <w:t xml:space="preserve"> I</w:t>
      </w:r>
      <w:r w:rsidR="00A76BED">
        <w:rPr>
          <w:sz w:val="27"/>
        </w:rPr>
        <w:t>I</w:t>
      </w:r>
    </w:p>
    <w:tbl>
      <w:tblPr>
        <w:tblStyle w:val="TableNormal"/>
        <w:tblW w:w="923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703"/>
      </w:tblGrid>
      <w:tr w:rsidR="00C535FA" w14:paraId="7AA7FFB2" w14:textId="77777777" w:rsidTr="00DC6EB5">
        <w:trPr>
          <w:trHeight w:val="378"/>
        </w:trPr>
        <w:tc>
          <w:tcPr>
            <w:tcW w:w="4532" w:type="dxa"/>
          </w:tcPr>
          <w:p w14:paraId="1564DF9C" w14:textId="77777777" w:rsidR="00C535FA" w:rsidRDefault="00157389">
            <w:pPr>
              <w:pStyle w:val="TableParagraph"/>
              <w:spacing w:line="247" w:lineRule="exact"/>
            </w:pPr>
            <w:r>
              <w:t>Dersin</w:t>
            </w:r>
            <w:r>
              <w:rPr>
                <w:spacing w:val="-4"/>
              </w:rPr>
              <w:t xml:space="preserve"> </w:t>
            </w:r>
            <w:r>
              <w:t>Öğrenme</w:t>
            </w:r>
            <w:r>
              <w:rPr>
                <w:spacing w:val="-3"/>
              </w:rPr>
              <w:t xml:space="preserve"> </w:t>
            </w:r>
            <w:r>
              <w:t>çıktıları</w:t>
            </w:r>
          </w:p>
        </w:tc>
        <w:tc>
          <w:tcPr>
            <w:tcW w:w="4703" w:type="dxa"/>
          </w:tcPr>
          <w:p w14:paraId="59E328FB" w14:textId="614AE211" w:rsidR="00C535FA" w:rsidRDefault="00157389">
            <w:pPr>
              <w:pStyle w:val="TableParagraph"/>
              <w:spacing w:line="247" w:lineRule="exact"/>
              <w:ind w:left="107"/>
            </w:pPr>
            <w:r>
              <w:t>Değerlendirme</w:t>
            </w:r>
            <w:r w:rsidR="007E42A7">
              <w:t xml:space="preserve"> (Not oran 100’e tamamlanacak)</w:t>
            </w:r>
          </w:p>
        </w:tc>
      </w:tr>
      <w:tr w:rsidR="00395C33" w14:paraId="741C8E0D" w14:textId="77777777" w:rsidTr="00DC6EB5">
        <w:trPr>
          <w:trHeight w:val="3804"/>
        </w:trPr>
        <w:tc>
          <w:tcPr>
            <w:tcW w:w="4532" w:type="dxa"/>
          </w:tcPr>
          <w:p w14:paraId="3397D2A6" w14:textId="77777777" w:rsidR="00A76BED" w:rsidRPr="00A76BED" w:rsidRDefault="00A76BED" w:rsidP="00A76BED">
            <w:pPr>
              <w:pStyle w:val="TableParagraph"/>
              <w:spacing w:before="7"/>
              <w:ind w:left="0"/>
            </w:pPr>
          </w:p>
          <w:p w14:paraId="29DBDC72" w14:textId="24B44A6C" w:rsidR="00A76BED" w:rsidRDefault="00A76BED" w:rsidP="00A76BED">
            <w:pPr>
              <w:pStyle w:val="TableParagraph"/>
              <w:numPr>
                <w:ilvl w:val="0"/>
                <w:numId w:val="3"/>
              </w:numPr>
              <w:spacing w:before="7"/>
            </w:pPr>
            <w:r w:rsidRPr="00A76BED">
              <w:rPr>
                <w:b/>
                <w:bCs/>
              </w:rPr>
              <w:t>1</w:t>
            </w:r>
            <w:r w:rsidRPr="00A76BED">
              <w:t> Toplu iş uyuşmazlıklarının nasıl çözümlenebileceğini tartışır.</w:t>
            </w:r>
          </w:p>
          <w:p w14:paraId="552B4D6F" w14:textId="77777777" w:rsidR="00A76BED" w:rsidRPr="00A76BED" w:rsidRDefault="00A76BED" w:rsidP="00A76BED">
            <w:pPr>
              <w:pStyle w:val="TableParagraph"/>
              <w:spacing w:before="7"/>
              <w:ind w:left="720"/>
            </w:pPr>
          </w:p>
          <w:p w14:paraId="72A4C97E" w14:textId="672D5137" w:rsidR="00A76BED" w:rsidRDefault="00A76BED" w:rsidP="00A76BED">
            <w:pPr>
              <w:pStyle w:val="TableParagraph"/>
              <w:numPr>
                <w:ilvl w:val="0"/>
                <w:numId w:val="3"/>
              </w:numPr>
              <w:spacing w:before="7"/>
            </w:pPr>
            <w:r w:rsidRPr="00A76BED">
              <w:rPr>
                <w:b/>
                <w:bCs/>
              </w:rPr>
              <w:t>2</w:t>
            </w:r>
            <w:r w:rsidRPr="00A76BED">
              <w:t> Grev ve lokavt haklarını açıklar</w:t>
            </w:r>
            <w:r w:rsidR="00C03923">
              <w:t>.</w:t>
            </w:r>
          </w:p>
          <w:p w14:paraId="21FD9BEB" w14:textId="77777777" w:rsidR="00A76BED" w:rsidRPr="00A76BED" w:rsidRDefault="00A76BED" w:rsidP="00A76BED">
            <w:pPr>
              <w:pStyle w:val="TableParagraph"/>
              <w:spacing w:before="7"/>
              <w:ind w:left="0"/>
            </w:pPr>
          </w:p>
          <w:p w14:paraId="36D2DCF0" w14:textId="77777777" w:rsidR="00A76BED" w:rsidRDefault="00A76BED" w:rsidP="00A76BED">
            <w:pPr>
              <w:pStyle w:val="TableParagraph"/>
              <w:numPr>
                <w:ilvl w:val="0"/>
                <w:numId w:val="3"/>
              </w:numPr>
              <w:spacing w:before="7"/>
            </w:pPr>
            <w:r w:rsidRPr="00A76BED">
              <w:rPr>
                <w:b/>
                <w:bCs/>
              </w:rPr>
              <w:t>3</w:t>
            </w:r>
            <w:r w:rsidRPr="00A76BED">
              <w:t> Yasadışı grevi açıklar.</w:t>
            </w:r>
          </w:p>
          <w:p w14:paraId="63C187EC" w14:textId="77777777" w:rsidR="00A76BED" w:rsidRPr="00A76BED" w:rsidRDefault="00A76BED" w:rsidP="00A76BED">
            <w:pPr>
              <w:pStyle w:val="TableParagraph"/>
              <w:spacing w:before="7"/>
              <w:ind w:left="0"/>
            </w:pPr>
          </w:p>
          <w:p w14:paraId="5272A7E5" w14:textId="77777777" w:rsidR="00A76BED" w:rsidRDefault="00A76BED" w:rsidP="00A76BED">
            <w:pPr>
              <w:pStyle w:val="TableParagraph"/>
              <w:numPr>
                <w:ilvl w:val="0"/>
                <w:numId w:val="3"/>
              </w:numPr>
              <w:spacing w:before="7"/>
            </w:pPr>
            <w:r w:rsidRPr="00A76BED">
              <w:rPr>
                <w:b/>
                <w:bCs/>
              </w:rPr>
              <w:t>4</w:t>
            </w:r>
            <w:r w:rsidRPr="00A76BED">
              <w:t> Yasal grevi ve hukuki sonuçlarını açıklar.</w:t>
            </w:r>
          </w:p>
          <w:p w14:paraId="3F60A989" w14:textId="77777777" w:rsidR="00A76BED" w:rsidRPr="00A76BED" w:rsidRDefault="00A76BED" w:rsidP="00A76BED">
            <w:pPr>
              <w:pStyle w:val="TableParagraph"/>
              <w:spacing w:before="7"/>
            </w:pPr>
          </w:p>
          <w:p w14:paraId="139FEBB0" w14:textId="77777777" w:rsidR="00A76BED" w:rsidRPr="00A76BED" w:rsidRDefault="00A76BED" w:rsidP="00A76BED">
            <w:pPr>
              <w:pStyle w:val="TableParagraph"/>
              <w:numPr>
                <w:ilvl w:val="0"/>
                <w:numId w:val="3"/>
              </w:numPr>
              <w:spacing w:before="7"/>
            </w:pPr>
            <w:r w:rsidRPr="00A76BED">
              <w:rPr>
                <w:b/>
                <w:bCs/>
              </w:rPr>
              <w:t>5</w:t>
            </w:r>
            <w:r w:rsidRPr="00A76BED">
              <w:t> Toplu iş sözleşmesi kavramını ve özelliklerini net bir şekilde açıklar</w:t>
            </w:r>
          </w:p>
          <w:p w14:paraId="78C4E8F4" w14:textId="7E280BF2" w:rsidR="006832BC" w:rsidRDefault="006832BC" w:rsidP="00DC6EB5">
            <w:pPr>
              <w:pStyle w:val="TableParagraph"/>
              <w:spacing w:before="7"/>
            </w:pPr>
          </w:p>
        </w:tc>
        <w:tc>
          <w:tcPr>
            <w:tcW w:w="4703" w:type="dxa"/>
          </w:tcPr>
          <w:p w14:paraId="6500EC80" w14:textId="77777777" w:rsidR="00343F0A" w:rsidRDefault="00A3370E" w:rsidP="00A3370E">
            <w:pPr>
              <w:pStyle w:val="TableParagraph"/>
              <w:spacing w:line="362" w:lineRule="auto"/>
              <w:ind w:left="0" w:right="2445"/>
            </w:pPr>
            <w:r>
              <w:t xml:space="preserve">  </w:t>
            </w:r>
          </w:p>
          <w:p w14:paraId="6FCD7322" w14:textId="6F7DE2E8" w:rsidR="00A3370E" w:rsidRDefault="00343F0A" w:rsidP="00A3370E">
            <w:pPr>
              <w:pStyle w:val="TableParagraph"/>
              <w:spacing w:line="362" w:lineRule="auto"/>
              <w:ind w:left="0" w:right="2445"/>
            </w:pPr>
            <w:r>
              <w:t xml:space="preserve"> </w:t>
            </w:r>
            <w:r w:rsidR="00A3370E">
              <w:t>-Vize Sınavı-</w:t>
            </w:r>
          </w:p>
          <w:p w14:paraId="3529DFAA" w14:textId="708D178D" w:rsidR="00395C33" w:rsidRDefault="009F2221">
            <w:pPr>
              <w:pStyle w:val="TableParagraph"/>
              <w:spacing w:line="362" w:lineRule="auto"/>
              <w:ind w:left="107" w:right="2445"/>
            </w:pPr>
            <w:r>
              <w:t>Klasik Soru</w:t>
            </w:r>
            <w:r w:rsidR="00395C33">
              <w:rPr>
                <w:spacing w:val="-3"/>
              </w:rPr>
              <w:t xml:space="preserve"> </w:t>
            </w:r>
            <w:r w:rsidR="00395C33">
              <w:t>(%</w:t>
            </w:r>
            <w:r w:rsidR="00A3370E">
              <w:t>50</w:t>
            </w:r>
            <w:r w:rsidR="00395C33">
              <w:t>)</w:t>
            </w:r>
          </w:p>
          <w:p w14:paraId="6C683A46" w14:textId="7D72FA42" w:rsidR="00A3370E" w:rsidRDefault="00A3370E">
            <w:pPr>
              <w:pStyle w:val="TableParagraph"/>
              <w:spacing w:line="362" w:lineRule="auto"/>
              <w:ind w:left="107" w:right="2445"/>
            </w:pPr>
            <w:r>
              <w:t>Boşluk Doldurma (%5)</w:t>
            </w:r>
          </w:p>
          <w:p w14:paraId="22763C86" w14:textId="547757F5" w:rsidR="00395C33" w:rsidRDefault="00395C33">
            <w:pPr>
              <w:pStyle w:val="TableParagraph"/>
              <w:spacing w:line="360" w:lineRule="auto"/>
              <w:ind w:left="107" w:right="2062"/>
            </w:pPr>
            <w:r>
              <w:t>Çoktan seçmeli test (%</w:t>
            </w:r>
            <w:r w:rsidR="00A3370E">
              <w:t>45</w:t>
            </w:r>
            <w:r>
              <w:t>)</w:t>
            </w:r>
            <w:r>
              <w:rPr>
                <w:spacing w:val="-52"/>
              </w:rPr>
              <w:t xml:space="preserve"> </w:t>
            </w:r>
          </w:p>
          <w:p w14:paraId="6F78D654" w14:textId="6212594B" w:rsidR="00395C33" w:rsidRDefault="00343F0A">
            <w:pPr>
              <w:pStyle w:val="TableParagraph"/>
              <w:spacing w:line="252" w:lineRule="exact"/>
              <w:ind w:left="107"/>
            </w:pPr>
            <w:r>
              <w:t>--------------------------------------------------------</w:t>
            </w:r>
          </w:p>
          <w:p w14:paraId="75F6CF7F" w14:textId="77777777" w:rsidR="00A3370E" w:rsidRDefault="00A3370E">
            <w:pPr>
              <w:pStyle w:val="TableParagraph"/>
              <w:spacing w:line="252" w:lineRule="exact"/>
              <w:ind w:left="107"/>
            </w:pPr>
            <w:r>
              <w:t>-Final Sınavı-</w:t>
            </w:r>
          </w:p>
          <w:p w14:paraId="7EA4DD9F" w14:textId="77777777" w:rsidR="00A3370E" w:rsidRDefault="00A3370E">
            <w:pPr>
              <w:pStyle w:val="TableParagraph"/>
              <w:spacing w:line="252" w:lineRule="exact"/>
              <w:ind w:left="107"/>
            </w:pPr>
          </w:p>
          <w:p w14:paraId="488211DB" w14:textId="77777777" w:rsidR="00A3370E" w:rsidRDefault="00A3370E">
            <w:pPr>
              <w:pStyle w:val="TableParagraph"/>
              <w:spacing w:line="252" w:lineRule="exact"/>
              <w:ind w:left="107"/>
            </w:pPr>
            <w:r>
              <w:t>Klasik Soru (%20)</w:t>
            </w:r>
          </w:p>
          <w:p w14:paraId="65B6133E" w14:textId="77777777" w:rsidR="00A3370E" w:rsidRDefault="00A3370E">
            <w:pPr>
              <w:pStyle w:val="TableParagraph"/>
              <w:spacing w:line="252" w:lineRule="exact"/>
              <w:ind w:left="107"/>
            </w:pPr>
          </w:p>
          <w:p w14:paraId="2CFCAA43" w14:textId="19BD8B0D" w:rsidR="00A3370E" w:rsidRDefault="00A3370E">
            <w:pPr>
              <w:pStyle w:val="TableParagraph"/>
              <w:spacing w:line="252" w:lineRule="exact"/>
              <w:ind w:left="107"/>
            </w:pPr>
            <w:r>
              <w:t>Çoktan Seçmeli Test (%80)</w:t>
            </w:r>
          </w:p>
        </w:tc>
      </w:tr>
      <w:tr w:rsidR="00395C33" w14:paraId="4AE15E31" w14:textId="77777777" w:rsidTr="00DC6EB5">
        <w:trPr>
          <w:trHeight w:val="1897"/>
        </w:trPr>
        <w:tc>
          <w:tcPr>
            <w:tcW w:w="9235" w:type="dxa"/>
            <w:gridSpan w:val="2"/>
          </w:tcPr>
          <w:p w14:paraId="39213B01" w14:textId="37D18981" w:rsidR="007E42A7" w:rsidRPr="008B02FE" w:rsidRDefault="00395C33" w:rsidP="008B02FE">
            <w:pPr>
              <w:pStyle w:val="TableParagraph"/>
              <w:spacing w:line="360" w:lineRule="auto"/>
              <w:ind w:right="91"/>
              <w:jc w:val="both"/>
              <w:rPr>
                <w:spacing w:val="-7"/>
              </w:rPr>
            </w:pPr>
            <w:r>
              <w:t>ÖÇ1,</w:t>
            </w:r>
            <w:r>
              <w:rPr>
                <w:spacing w:val="-10"/>
              </w:rPr>
              <w:t xml:space="preserve"> </w:t>
            </w:r>
            <w:r>
              <w:t>ÖÇ2,</w:t>
            </w:r>
            <w:r>
              <w:rPr>
                <w:spacing w:val="-11"/>
              </w:rPr>
              <w:t xml:space="preserve"> </w:t>
            </w:r>
            <w:r>
              <w:t>ÖÇ3,</w:t>
            </w:r>
            <w:r>
              <w:rPr>
                <w:spacing w:val="-10"/>
              </w:rPr>
              <w:t xml:space="preserve"> </w:t>
            </w:r>
            <w:r>
              <w:t>ÖÇ</w:t>
            </w:r>
            <w:r w:rsidR="007A1FE5">
              <w:t>4</w:t>
            </w:r>
            <w:r w:rsidR="007A1FE5">
              <w:rPr>
                <w:spacing w:val="-10"/>
              </w:rPr>
              <w:t xml:space="preserve"> ve</w:t>
            </w:r>
            <w:r>
              <w:rPr>
                <w:spacing w:val="-9"/>
              </w:rPr>
              <w:t xml:space="preserve"> </w:t>
            </w:r>
            <w:r>
              <w:t>ÖÇ</w:t>
            </w:r>
            <w:r w:rsidR="00DC6EB5">
              <w:t>5</w:t>
            </w:r>
            <w:r w:rsidR="00CA79BF">
              <w:t>’</w:t>
            </w:r>
            <w:r w:rsidR="00C42DF5">
              <w:t>e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10"/>
              </w:rPr>
              <w:t xml:space="preserve"> </w:t>
            </w:r>
            <w:r>
              <w:t>bilgi</w:t>
            </w:r>
            <w:r w:rsidR="00C42DF5">
              <w:t xml:space="preserve"> ve </w:t>
            </w:r>
            <w:r>
              <w:t>kavrama</w:t>
            </w:r>
            <w:r>
              <w:rPr>
                <w:spacing w:val="-7"/>
              </w:rPr>
              <w:t xml:space="preserve"> </w:t>
            </w:r>
            <w:r>
              <w:t>düzeyini</w:t>
            </w:r>
            <w:r>
              <w:rPr>
                <w:spacing w:val="-5"/>
              </w:rPr>
              <w:t xml:space="preserve"> </w:t>
            </w:r>
            <w:r>
              <w:t>ölçmek</w:t>
            </w:r>
            <w:r>
              <w:rPr>
                <w:spacing w:val="-12"/>
              </w:rPr>
              <w:t xml:space="preserve"> </w:t>
            </w:r>
            <w:r>
              <w:t>için</w:t>
            </w:r>
            <w:r>
              <w:rPr>
                <w:spacing w:val="-12"/>
              </w:rPr>
              <w:t xml:space="preserve"> </w:t>
            </w:r>
            <w:r w:rsidR="006832BC">
              <w:rPr>
                <w:spacing w:val="-12"/>
              </w:rPr>
              <w:t>vize</w:t>
            </w:r>
            <w:r w:rsidR="009F2221">
              <w:rPr>
                <w:spacing w:val="-12"/>
              </w:rPr>
              <w:t xml:space="preserve"> </w:t>
            </w:r>
            <w:r w:rsidR="002419AA">
              <w:rPr>
                <w:spacing w:val="-12"/>
              </w:rPr>
              <w:t>(%40)</w:t>
            </w:r>
            <w:r w:rsidR="006832BC">
              <w:rPr>
                <w:spacing w:val="-12"/>
              </w:rPr>
              <w:t xml:space="preserve"> ve final</w:t>
            </w:r>
            <w:r w:rsidR="002419AA">
              <w:rPr>
                <w:spacing w:val="-12"/>
              </w:rPr>
              <w:t xml:space="preserve"> (%60)</w:t>
            </w:r>
            <w:r w:rsidR="006832BC">
              <w:rPr>
                <w:spacing w:val="-12"/>
              </w:rPr>
              <w:t xml:space="preserve"> sınavı olmak üzere 2 </w:t>
            </w:r>
            <w:r>
              <w:t>sınav</w:t>
            </w:r>
            <w:r>
              <w:rPr>
                <w:spacing w:val="-12"/>
              </w:rPr>
              <w:t xml:space="preserve"> </w:t>
            </w:r>
            <w:r>
              <w:t>yapılmıştır.</w:t>
            </w:r>
            <w:r>
              <w:rPr>
                <w:spacing w:val="-7"/>
              </w:rPr>
              <w:t xml:space="preserve"> </w:t>
            </w:r>
            <w:r w:rsidR="005F2815">
              <w:rPr>
                <w:spacing w:val="-7"/>
              </w:rPr>
              <w:t xml:space="preserve">Sınav soruları hazırlanırken </w:t>
            </w:r>
            <w:r w:rsidR="00846F5A">
              <w:rPr>
                <w:spacing w:val="-7"/>
              </w:rPr>
              <w:t>belirtilen öğrenme çıktıları dikkate alınmıştır.</w:t>
            </w:r>
            <w:r w:rsidR="001D5215">
              <w:rPr>
                <w:spacing w:val="-7"/>
              </w:rPr>
              <w:t xml:space="preserve"> </w:t>
            </w:r>
            <w:r w:rsidR="00C42DF5">
              <w:rPr>
                <w:spacing w:val="-7"/>
              </w:rPr>
              <w:t>G</w:t>
            </w:r>
            <w:r w:rsidR="001D5215">
              <w:rPr>
                <w:spacing w:val="-7"/>
              </w:rPr>
              <w:t>erçekleştirilen sınavlar</w:t>
            </w:r>
            <w:r w:rsidR="009F2221">
              <w:rPr>
                <w:spacing w:val="-7"/>
              </w:rPr>
              <w:t xml:space="preserve">daki </w:t>
            </w:r>
            <w:r w:rsidR="00C42DF5">
              <w:rPr>
                <w:spacing w:val="-7"/>
              </w:rPr>
              <w:t>puanlama dağılımına</w:t>
            </w:r>
            <w:r w:rsidR="00A3370E">
              <w:rPr>
                <w:spacing w:val="-7"/>
              </w:rPr>
              <w:t xml:space="preserve"> bakıldığında vize </w:t>
            </w:r>
            <w:r w:rsidR="00C42DF5">
              <w:rPr>
                <w:spacing w:val="-7"/>
              </w:rPr>
              <w:t>sınavı</w:t>
            </w:r>
            <w:r w:rsidR="001D5215">
              <w:rPr>
                <w:spacing w:val="-7"/>
              </w:rPr>
              <w:t xml:space="preserve"> %</w:t>
            </w:r>
            <w:r w:rsidR="00A3370E">
              <w:rPr>
                <w:spacing w:val="-7"/>
              </w:rPr>
              <w:t>50 klasik soru, %5 boşluk doldurma ve %45</w:t>
            </w:r>
            <w:r w:rsidR="001D5215">
              <w:rPr>
                <w:spacing w:val="-7"/>
              </w:rPr>
              <w:t xml:space="preserve"> </w:t>
            </w:r>
            <w:r w:rsidR="00A408DE">
              <w:rPr>
                <w:spacing w:val="-7"/>
              </w:rPr>
              <w:t>çoktan seçmeli test</w:t>
            </w:r>
            <w:r w:rsidR="00A3370E">
              <w:rPr>
                <w:spacing w:val="-7"/>
              </w:rPr>
              <w:t xml:space="preserve"> şeklinde</w:t>
            </w:r>
            <w:r w:rsidR="00C42DF5">
              <w:rPr>
                <w:spacing w:val="-7"/>
              </w:rPr>
              <w:t xml:space="preserve"> oluşturulmuştur</w:t>
            </w:r>
            <w:r w:rsidR="00A3370E">
              <w:rPr>
                <w:spacing w:val="-7"/>
              </w:rPr>
              <w:t>. Final için ise</w:t>
            </w:r>
            <w:r w:rsidR="00A408DE">
              <w:rPr>
                <w:spacing w:val="-7"/>
              </w:rPr>
              <w:t xml:space="preserve"> </w:t>
            </w:r>
            <w:r w:rsidR="00A3370E">
              <w:rPr>
                <w:spacing w:val="-7"/>
              </w:rPr>
              <w:t xml:space="preserve">puanlamanın </w:t>
            </w:r>
            <w:r w:rsidR="00A408DE">
              <w:rPr>
                <w:spacing w:val="-7"/>
              </w:rPr>
              <w:t>yüzde %</w:t>
            </w:r>
            <w:r w:rsidR="00A3370E">
              <w:rPr>
                <w:spacing w:val="-7"/>
              </w:rPr>
              <w:t>20’s</w:t>
            </w:r>
            <w:r w:rsidR="00A408DE">
              <w:rPr>
                <w:spacing w:val="-7"/>
              </w:rPr>
              <w:t xml:space="preserve">i </w:t>
            </w:r>
            <w:r w:rsidR="00A3370E">
              <w:rPr>
                <w:spacing w:val="-7"/>
              </w:rPr>
              <w:t>klasik soru, %80’i çoktan seçmeli test sorularından oluşmaktadır.</w:t>
            </w:r>
            <w:r w:rsidR="00BB2B78">
              <w:rPr>
                <w:spacing w:val="-7"/>
              </w:rPr>
              <w:t xml:space="preserve"> </w:t>
            </w:r>
            <w:r w:rsidR="001902F7">
              <w:rPr>
                <w:spacing w:val="-7"/>
              </w:rPr>
              <w:t xml:space="preserve">2022-2023 </w:t>
            </w:r>
            <w:r w:rsidR="00C03923">
              <w:rPr>
                <w:spacing w:val="-7"/>
              </w:rPr>
              <w:t>bahar</w:t>
            </w:r>
            <w:r w:rsidR="005E434E">
              <w:rPr>
                <w:spacing w:val="-7"/>
              </w:rPr>
              <w:t xml:space="preserve"> yarı</w:t>
            </w:r>
            <w:r w:rsidR="0093196B">
              <w:rPr>
                <w:spacing w:val="-7"/>
              </w:rPr>
              <w:t xml:space="preserve">yılı </w:t>
            </w:r>
            <w:r w:rsidR="00D31634">
              <w:rPr>
                <w:spacing w:val="-7"/>
              </w:rPr>
              <w:t>vize ve final sınavları ortalaması</w:t>
            </w:r>
            <w:r w:rsidR="00F0096E">
              <w:rPr>
                <w:spacing w:val="-7"/>
              </w:rPr>
              <w:t xml:space="preserve"> </w:t>
            </w:r>
            <w:r w:rsidR="00D31634">
              <w:rPr>
                <w:spacing w:val="-7"/>
              </w:rPr>
              <w:t>80.66</w:t>
            </w:r>
            <w:r w:rsidR="00F0096E">
              <w:rPr>
                <w:spacing w:val="-7"/>
              </w:rPr>
              <w:t>’</w:t>
            </w:r>
            <w:r w:rsidR="00D31634">
              <w:rPr>
                <w:spacing w:val="-7"/>
              </w:rPr>
              <w:t>dır</w:t>
            </w:r>
            <w:r w:rsidR="00F0096E">
              <w:rPr>
                <w:spacing w:val="-7"/>
              </w:rPr>
              <w:t>.</w:t>
            </w:r>
            <w:r w:rsidR="007A1FE5">
              <w:rPr>
                <w:spacing w:val="-7"/>
              </w:rPr>
              <w:t xml:space="preserve"> Bu </w:t>
            </w:r>
            <w:r w:rsidR="00265563">
              <w:rPr>
                <w:spacing w:val="-7"/>
              </w:rPr>
              <w:t>rakam öğrenme çıktılarına önemli ölçüde ulaşıldığını göstermektedir.</w:t>
            </w:r>
            <w:r w:rsidR="0028585D">
              <w:rPr>
                <w:spacing w:val="-7"/>
              </w:rPr>
              <w:t xml:space="preserve"> İlgili derse ait sınav örne</w:t>
            </w:r>
            <w:r w:rsidR="00AD5A40">
              <w:rPr>
                <w:spacing w:val="-7"/>
              </w:rPr>
              <w:t>kler</w:t>
            </w:r>
            <w:r w:rsidR="00F22E7F">
              <w:rPr>
                <w:spacing w:val="-7"/>
              </w:rPr>
              <w:t>ine ve bu sınavlardaki soruların Bloom Bilişsel Alan Sınıflaması kategorilerinden hangisine karşılık geldiğine yönelik bilgilere “Ölçme Değerlendirme Örnekleri”</w:t>
            </w:r>
            <w:r w:rsidR="0028585D">
              <w:rPr>
                <w:spacing w:val="-7"/>
              </w:rPr>
              <w:t xml:space="preserve"> </w:t>
            </w:r>
            <w:r w:rsidR="00F22E7F">
              <w:rPr>
                <w:spacing w:val="-7"/>
              </w:rPr>
              <w:t>linki üzerinde yer alan “</w:t>
            </w:r>
            <w:r w:rsidR="00AD5A40">
              <w:rPr>
                <w:spacing w:val="-7"/>
              </w:rPr>
              <w:t>tihII-örnek sinav-kagidi</w:t>
            </w:r>
            <w:r w:rsidR="00F22E7F">
              <w:rPr>
                <w:spacing w:val="-7"/>
              </w:rPr>
              <w:t>-</w:t>
            </w:r>
            <w:r w:rsidR="00AD5A40">
              <w:rPr>
                <w:spacing w:val="-7"/>
              </w:rPr>
              <w:t>vize</w:t>
            </w:r>
            <w:r w:rsidR="00F22E7F">
              <w:rPr>
                <w:spacing w:val="-7"/>
              </w:rPr>
              <w:t>”</w:t>
            </w:r>
            <w:r w:rsidR="00400A20">
              <w:rPr>
                <w:spacing w:val="-7"/>
              </w:rPr>
              <w:t xml:space="preserve"> </w:t>
            </w:r>
            <w:r w:rsidR="00AD5A40">
              <w:rPr>
                <w:spacing w:val="-7"/>
              </w:rPr>
              <w:t xml:space="preserve">ve </w:t>
            </w:r>
            <w:r w:rsidR="00F22E7F">
              <w:rPr>
                <w:spacing w:val="-7"/>
              </w:rPr>
              <w:t>“</w:t>
            </w:r>
            <w:r w:rsidR="00AD5A40">
              <w:rPr>
                <w:spacing w:val="-7"/>
              </w:rPr>
              <w:t>tihII-ornek-sinav-kagidi-final</w:t>
            </w:r>
            <w:r w:rsidR="00F22E7F">
              <w:rPr>
                <w:spacing w:val="-7"/>
              </w:rPr>
              <w:t>”</w:t>
            </w:r>
            <w:r w:rsidR="00AD5A40">
              <w:rPr>
                <w:spacing w:val="-7"/>
              </w:rPr>
              <w:t xml:space="preserve"> </w:t>
            </w:r>
            <w:r w:rsidR="00400A20">
              <w:rPr>
                <w:spacing w:val="-7"/>
              </w:rPr>
              <w:t>başlıklı dosya</w:t>
            </w:r>
            <w:r w:rsidR="00AD5A40">
              <w:rPr>
                <w:spacing w:val="-7"/>
              </w:rPr>
              <w:t>lar</w:t>
            </w:r>
            <w:r w:rsidR="00F22E7F">
              <w:rPr>
                <w:spacing w:val="-7"/>
              </w:rPr>
              <w:t>dan ulaşılabilir.</w:t>
            </w:r>
          </w:p>
        </w:tc>
      </w:tr>
    </w:tbl>
    <w:p w14:paraId="06826E08" w14:textId="645F62BA" w:rsidR="00C535FA" w:rsidRDefault="00C535FA">
      <w:pPr>
        <w:spacing w:line="252" w:lineRule="exact"/>
        <w:sectPr w:rsidR="00C535FA">
          <w:pgSz w:w="11910" w:h="16840"/>
          <w:pgMar w:top="1320" w:right="1300" w:bottom="280" w:left="1300" w:header="708" w:footer="708" w:gutter="0"/>
          <w:cols w:space="708"/>
        </w:sectPr>
      </w:pPr>
    </w:p>
    <w:p w14:paraId="018ABC81" w14:textId="2AFE240A" w:rsidR="001C3C09" w:rsidRPr="0099655D" w:rsidRDefault="001C3C09" w:rsidP="00312544">
      <w:pPr>
        <w:jc w:val="both"/>
        <w:rPr>
          <w:b/>
          <w:bCs/>
        </w:rPr>
      </w:pPr>
    </w:p>
    <w:sectPr w:rsidR="001C3C09" w:rsidRPr="0099655D">
      <w:pgSz w:w="11910" w:h="16840"/>
      <w:pgMar w:top="14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563C7"/>
    <w:multiLevelType w:val="multilevel"/>
    <w:tmpl w:val="4ED0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D55AA0"/>
    <w:multiLevelType w:val="hybridMultilevel"/>
    <w:tmpl w:val="CCEC15A4"/>
    <w:lvl w:ilvl="0" w:tplc="8D4ADD60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70DE70EE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2" w:tplc="C6AC2666">
      <w:numFmt w:val="bullet"/>
      <w:lvlText w:val="•"/>
      <w:lvlJc w:val="left"/>
      <w:pPr>
        <w:ind w:left="2100" w:hanging="360"/>
      </w:pPr>
      <w:rPr>
        <w:rFonts w:hint="default"/>
        <w:lang w:val="tr-TR" w:eastAsia="en-US" w:bidi="ar-SA"/>
      </w:rPr>
    </w:lvl>
    <w:lvl w:ilvl="3" w:tplc="7EECA852">
      <w:numFmt w:val="bullet"/>
      <w:lvlText w:val="•"/>
      <w:lvlJc w:val="left"/>
      <w:pPr>
        <w:ind w:left="3001" w:hanging="360"/>
      </w:pPr>
      <w:rPr>
        <w:rFonts w:hint="default"/>
        <w:lang w:val="tr-TR" w:eastAsia="en-US" w:bidi="ar-SA"/>
      </w:rPr>
    </w:lvl>
    <w:lvl w:ilvl="4" w:tplc="0518E87E">
      <w:numFmt w:val="bullet"/>
      <w:lvlText w:val="•"/>
      <w:lvlJc w:val="left"/>
      <w:pPr>
        <w:ind w:left="3902" w:hanging="360"/>
      </w:pPr>
      <w:rPr>
        <w:rFonts w:hint="default"/>
        <w:lang w:val="tr-TR" w:eastAsia="en-US" w:bidi="ar-SA"/>
      </w:rPr>
    </w:lvl>
    <w:lvl w:ilvl="5" w:tplc="C3C28B8C">
      <w:numFmt w:val="bullet"/>
      <w:lvlText w:val="•"/>
      <w:lvlJc w:val="left"/>
      <w:pPr>
        <w:ind w:left="4802" w:hanging="360"/>
      </w:pPr>
      <w:rPr>
        <w:rFonts w:hint="default"/>
        <w:lang w:val="tr-TR" w:eastAsia="en-US" w:bidi="ar-SA"/>
      </w:rPr>
    </w:lvl>
    <w:lvl w:ilvl="6" w:tplc="139EF9BA">
      <w:numFmt w:val="bullet"/>
      <w:lvlText w:val="•"/>
      <w:lvlJc w:val="left"/>
      <w:pPr>
        <w:ind w:left="5703" w:hanging="360"/>
      </w:pPr>
      <w:rPr>
        <w:rFonts w:hint="default"/>
        <w:lang w:val="tr-TR" w:eastAsia="en-US" w:bidi="ar-SA"/>
      </w:rPr>
    </w:lvl>
    <w:lvl w:ilvl="7" w:tplc="1AD4B82A">
      <w:numFmt w:val="bullet"/>
      <w:lvlText w:val="•"/>
      <w:lvlJc w:val="left"/>
      <w:pPr>
        <w:ind w:left="6604" w:hanging="360"/>
      </w:pPr>
      <w:rPr>
        <w:rFonts w:hint="default"/>
        <w:lang w:val="tr-TR" w:eastAsia="en-US" w:bidi="ar-SA"/>
      </w:rPr>
    </w:lvl>
    <w:lvl w:ilvl="8" w:tplc="91AACAF4">
      <w:numFmt w:val="bullet"/>
      <w:lvlText w:val="•"/>
      <w:lvlJc w:val="left"/>
      <w:pPr>
        <w:ind w:left="7504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6E4E6BC8"/>
    <w:multiLevelType w:val="hybridMultilevel"/>
    <w:tmpl w:val="7AB0497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750682">
    <w:abstractNumId w:val="1"/>
  </w:num>
  <w:num w:numId="2" w16cid:durableId="1980845235">
    <w:abstractNumId w:val="2"/>
  </w:num>
  <w:num w:numId="3" w16cid:durableId="1106005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FA"/>
    <w:rsid w:val="000E35D6"/>
    <w:rsid w:val="000E6CD4"/>
    <w:rsid w:val="00157389"/>
    <w:rsid w:val="00161736"/>
    <w:rsid w:val="001902F7"/>
    <w:rsid w:val="00197721"/>
    <w:rsid w:val="001C3C09"/>
    <w:rsid w:val="001D5215"/>
    <w:rsid w:val="002419AA"/>
    <w:rsid w:val="0025349E"/>
    <w:rsid w:val="00265563"/>
    <w:rsid w:val="0027545A"/>
    <w:rsid w:val="0028585D"/>
    <w:rsid w:val="00296198"/>
    <w:rsid w:val="00312544"/>
    <w:rsid w:val="00326BF7"/>
    <w:rsid w:val="00343F0A"/>
    <w:rsid w:val="00381BED"/>
    <w:rsid w:val="00395C33"/>
    <w:rsid w:val="00400A20"/>
    <w:rsid w:val="00410C3C"/>
    <w:rsid w:val="00437A4F"/>
    <w:rsid w:val="004632E5"/>
    <w:rsid w:val="005E434E"/>
    <w:rsid w:val="005F2815"/>
    <w:rsid w:val="0067149A"/>
    <w:rsid w:val="006832BC"/>
    <w:rsid w:val="006B1918"/>
    <w:rsid w:val="007A1FE5"/>
    <w:rsid w:val="007C2F46"/>
    <w:rsid w:val="007E42A7"/>
    <w:rsid w:val="00846F5A"/>
    <w:rsid w:val="00865A03"/>
    <w:rsid w:val="008B02FE"/>
    <w:rsid w:val="0093196B"/>
    <w:rsid w:val="0097346E"/>
    <w:rsid w:val="0099655D"/>
    <w:rsid w:val="009E1F60"/>
    <w:rsid w:val="009F2221"/>
    <w:rsid w:val="00A2028D"/>
    <w:rsid w:val="00A3370E"/>
    <w:rsid w:val="00A408DE"/>
    <w:rsid w:val="00A76BED"/>
    <w:rsid w:val="00A80FB6"/>
    <w:rsid w:val="00A8391B"/>
    <w:rsid w:val="00AD5A40"/>
    <w:rsid w:val="00B31800"/>
    <w:rsid w:val="00BB2B78"/>
    <w:rsid w:val="00BC3A92"/>
    <w:rsid w:val="00C03923"/>
    <w:rsid w:val="00C13BDF"/>
    <w:rsid w:val="00C42DF5"/>
    <w:rsid w:val="00C535FA"/>
    <w:rsid w:val="00CA79BF"/>
    <w:rsid w:val="00CC3ED9"/>
    <w:rsid w:val="00D10BAC"/>
    <w:rsid w:val="00D31634"/>
    <w:rsid w:val="00D369AA"/>
    <w:rsid w:val="00DC6EB5"/>
    <w:rsid w:val="00E20B3A"/>
    <w:rsid w:val="00F0096E"/>
    <w:rsid w:val="00F2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5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76"/>
      <w:ind w:left="824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  <w:jc w:val="both"/>
    </w:pPr>
  </w:style>
  <w:style w:type="paragraph" w:styleId="ListeParagraf">
    <w:name w:val="List Paragraph"/>
    <w:basedOn w:val="Normal"/>
    <w:uiPriority w:val="1"/>
    <w:qFormat/>
    <w:pPr>
      <w:spacing w:before="1"/>
      <w:ind w:left="119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table" w:styleId="TabloKlavuzu">
    <w:name w:val="Table Grid"/>
    <w:basedOn w:val="NormalTablo"/>
    <w:uiPriority w:val="39"/>
    <w:rsid w:val="00395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3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29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535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844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094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8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9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886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811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7989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10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0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2023-12-07T12:22:00Z</dcterms:created>
  <dcterms:modified xsi:type="dcterms:W3CDTF">2023-12-17T11:22:00Z</dcterms:modified>
</cp:coreProperties>
</file>