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3599" w14:textId="2A20D942" w:rsidR="008E219B" w:rsidRDefault="00960D73" w:rsidP="00960D73">
      <w:pPr>
        <w:jc w:val="center"/>
        <w:rPr>
          <w:noProof/>
        </w:rPr>
      </w:pPr>
      <w:r>
        <w:rPr>
          <w:noProof/>
        </w:rPr>
        <w:t xml:space="preserve">2024 </w:t>
      </w:r>
      <w:r>
        <w:rPr>
          <w:noProof/>
        </w:rPr>
        <w:tab/>
        <w:t xml:space="preserve">Yılı </w:t>
      </w:r>
      <w:r w:rsidR="008E219B">
        <w:rPr>
          <w:noProof/>
        </w:rPr>
        <w:t>Maliye Lisans Memnuniyet Anketi</w:t>
      </w:r>
    </w:p>
    <w:p w14:paraId="3DDC2C2A" w14:textId="69FA3666" w:rsidR="008E219B" w:rsidRDefault="008E219B" w:rsidP="008E219B">
      <w:pPr>
        <w:jc w:val="both"/>
        <w:rPr>
          <w:noProof/>
        </w:rPr>
      </w:pPr>
      <w:r>
        <w:rPr>
          <w:noProof/>
        </w:rPr>
        <w:t>202</w:t>
      </w:r>
      <w:r w:rsidR="009B78FA">
        <w:rPr>
          <w:noProof/>
        </w:rPr>
        <w:t>1</w:t>
      </w:r>
      <w:r>
        <w:rPr>
          <w:noProof/>
        </w:rPr>
        <w:t xml:space="preserve"> yılından itibaren maliye bölüme lisans memnuniyet anketi yapılmaktadır. Bu anket ile bölüm öğrencilerin; bölüm, öğretim üyeleri, dersler vb. konular hakkında memnuniyet düzeyleri ölçülmeye çalışılmaktadır. Ayrıca söz konusu anket eğitim planının ve derslerin içeriklerin belirlenmesinde önemli bir aktör konumundadır. Geçmiş yıllarda lisans öğrencilerine, mezun öğrencilere ve akdemik personele yapılan memnuniyet anketlerinden elde edilen bilgiler ışığında 2023-2024 yılında eğitim planı önemli ölçüde değişmiş ve kariyer planla, iktisat maliye okumaları, kamu bütçesinde yeni yaklaşımlar, gönüllülük çalışmaları vb. dersler eğitim planına eklenmiştir. Ayrıca derslerin içerik ve AKTS’lerinde de değişiklikler yapılmıştır. Bu yılda öğrencilerimize memnuniyet anketi uygulanmıştır. Anketlerden elde edilen bilgiler gelecek yıllarda eğitim planının güncellenmesinde önemli bir yere sahip olacaktır.</w:t>
      </w:r>
    </w:p>
    <w:p w14:paraId="42970B38" w14:textId="77777777" w:rsidR="008E219B" w:rsidRDefault="008E219B" w:rsidP="008E219B">
      <w:pPr>
        <w:jc w:val="both"/>
        <w:rPr>
          <w:noProof/>
        </w:rPr>
      </w:pPr>
      <w:r>
        <w:rPr>
          <w:noProof/>
        </w:rPr>
        <w:t xml:space="preserve">Soru 1 </w:t>
      </w:r>
      <w:r w:rsidRPr="0096792A">
        <w:rPr>
          <w:noProof/>
        </w:rPr>
        <w:t>Maliye programında yer alan dersler teorik açıdan yeterlidir.</w:t>
      </w:r>
    </w:p>
    <w:p w14:paraId="37963385" w14:textId="77777777" w:rsidR="008E219B" w:rsidRDefault="008E219B" w:rsidP="008E219B">
      <w:pPr>
        <w:jc w:val="both"/>
        <w:rPr>
          <w:noProof/>
        </w:rPr>
      </w:pPr>
      <w:r>
        <w:rPr>
          <w:noProof/>
        </w:rPr>
        <w:drawing>
          <wp:anchor distT="0" distB="0" distL="114300" distR="114300" simplePos="0" relativeHeight="251659264" behindDoc="0" locked="0" layoutInCell="1" allowOverlap="1" wp14:anchorId="749268CC" wp14:editId="2FCB537F">
            <wp:simplePos x="899160" y="3413760"/>
            <wp:positionH relativeFrom="column">
              <wp:align>left</wp:align>
            </wp:positionH>
            <wp:positionV relativeFrom="paragraph">
              <wp:align>top</wp:align>
            </wp:positionV>
            <wp:extent cx="5486400" cy="1653540"/>
            <wp:effectExtent l="0" t="0" r="0" b="0"/>
            <wp:wrapSquare wrapText="bothSides"/>
            <wp:docPr id="2020806807"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noProof/>
        </w:rPr>
        <w:br w:type="textWrapping" w:clear="all"/>
      </w:r>
    </w:p>
    <w:p w14:paraId="1843366F" w14:textId="77777777" w:rsidR="008E219B" w:rsidRDefault="008E219B" w:rsidP="008E219B">
      <w:pPr>
        <w:jc w:val="both"/>
      </w:pPr>
      <w:r>
        <w:t>Ankete Katılanların önemli bir kısmı (yaklaşık %30’u) kararsız olduklarını bildirmişlerdir. Dersleri teorik açıdan yeterli görenlerin oranı ise yaklaşık %39’dur. Bu konuda yaşanan eksikliğin giderilebilmesi için maliye lisans programında düzenli olarak güncellemeler yapılmaktadır. Son yıllarda, kültürel ekonomi, iktisat ve maliye okumaları ve kamu bütçesinde yeni yaklaşımlar gibi yeni dersler eğitim-öğretim müfredatına eklenmiştir.</w:t>
      </w:r>
    </w:p>
    <w:p w14:paraId="658BEDE1" w14:textId="77777777" w:rsidR="008E219B" w:rsidRDefault="008E219B" w:rsidP="008E219B">
      <w:pPr>
        <w:jc w:val="both"/>
      </w:pPr>
      <w:r>
        <w:t>S. 2 Maliye Programında Yer Alan Dersler Uygulama Açısından Yeterlidir.</w:t>
      </w:r>
    </w:p>
    <w:p w14:paraId="4431BB5C" w14:textId="77777777" w:rsidR="008E219B" w:rsidRDefault="008E219B" w:rsidP="008E219B">
      <w:pPr>
        <w:jc w:val="both"/>
      </w:pPr>
      <w:r>
        <w:rPr>
          <w:noProof/>
        </w:rPr>
        <w:drawing>
          <wp:inline distT="0" distB="0" distL="0" distR="0" wp14:anchorId="264EEC81" wp14:editId="3CD3E1A3">
            <wp:extent cx="5486400" cy="1767840"/>
            <wp:effectExtent l="0" t="0" r="0" b="0"/>
            <wp:docPr id="1440944918"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EDA478" w14:textId="77777777" w:rsidR="008E219B" w:rsidRDefault="008E219B" w:rsidP="008E219B">
      <w:pPr>
        <w:jc w:val="both"/>
      </w:pPr>
      <w:r>
        <w:t xml:space="preserve">Maliye bölümü müfredatı çağın gereksinimleri göz önünde bulundurularak sürekli olarak yenilenmektedir. Son yıllarda kariyer planlaması ve gönül çalışması dersleri müfredata eklenmiştir. Gelecek yıllarda uygulamaya yönelik yeni derslerin müfredata eklenmesi planlanmaktadır. </w:t>
      </w:r>
    </w:p>
    <w:p w14:paraId="31CB6696" w14:textId="77777777" w:rsidR="008E219B" w:rsidRDefault="008E219B" w:rsidP="008E219B">
      <w:pPr>
        <w:jc w:val="both"/>
      </w:pPr>
    </w:p>
    <w:p w14:paraId="632B5DE9" w14:textId="77777777" w:rsidR="008E219B" w:rsidRDefault="008E219B" w:rsidP="008E219B">
      <w:pPr>
        <w:jc w:val="both"/>
      </w:pPr>
    </w:p>
    <w:p w14:paraId="11BE902F" w14:textId="77777777" w:rsidR="008E219B" w:rsidRDefault="008E219B" w:rsidP="008E219B">
      <w:pPr>
        <w:jc w:val="both"/>
      </w:pPr>
      <w:r>
        <w:t>S.3 Seçmeli Dersler Bölümün Amaçlarıyla Uyumludur.</w:t>
      </w:r>
    </w:p>
    <w:p w14:paraId="56AE1B10" w14:textId="77777777" w:rsidR="008E219B" w:rsidRDefault="008E219B" w:rsidP="008E219B">
      <w:r>
        <w:rPr>
          <w:noProof/>
        </w:rPr>
        <w:drawing>
          <wp:inline distT="0" distB="0" distL="0" distR="0" wp14:anchorId="2783FCB6" wp14:editId="0D82AB6F">
            <wp:extent cx="5486400" cy="1592580"/>
            <wp:effectExtent l="0" t="0" r="0" b="0"/>
            <wp:docPr id="1968248865"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51134B" w14:textId="77777777" w:rsidR="008E219B" w:rsidRDefault="008E219B" w:rsidP="008E219B">
      <w:pPr>
        <w:jc w:val="both"/>
      </w:pPr>
      <w:r>
        <w:t xml:space="preserve">Ankete katılan öğrencilerin % 34’ü  seçmeli derslerin bölümün maçlarıyla uyumlu olduğunu, %32’si ise uyumlu olmadığını ifade etmiştir. %24 ü ise kararsız kalmıştır. Çanakkale Onsekiz Mart Üniversitesinin eğitim kataloğunda maliye bölümünün amaç ve hedefleri ile söz konusu seçmeli derslerin bu amaç ve hedeflerle ilişkisi açıklanmıştır. Maliye bölümünün her bir seçmeli dersi bölüm öğretim üyeleri tarafından çağın gereksinimleri ve bölümün  misyon ve vizyonu dikkate alınarak belirlenmektedir. </w:t>
      </w:r>
    </w:p>
    <w:p w14:paraId="715E2652" w14:textId="77777777" w:rsidR="008E219B" w:rsidRDefault="008E219B" w:rsidP="008E219B">
      <w:r>
        <w:t xml:space="preserve">S. 4 </w:t>
      </w:r>
      <w:r w:rsidRPr="00F90279">
        <w:t>Ders dışı zamanlarda öğretim elemanlarına ulaşılabilmektedir.</w:t>
      </w:r>
    </w:p>
    <w:p w14:paraId="43F0FE37" w14:textId="77777777" w:rsidR="008E219B" w:rsidRDefault="008E219B" w:rsidP="008E219B">
      <w:pPr>
        <w:jc w:val="both"/>
      </w:pPr>
      <w:r>
        <w:rPr>
          <w:noProof/>
        </w:rPr>
        <w:drawing>
          <wp:inline distT="0" distB="0" distL="0" distR="0" wp14:anchorId="68F78894" wp14:editId="7B3F8C00">
            <wp:extent cx="5486400" cy="1722120"/>
            <wp:effectExtent l="0" t="0" r="0" b="0"/>
            <wp:docPr id="1439798458"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556983" w14:textId="77777777" w:rsidR="008E219B" w:rsidRDefault="008E219B" w:rsidP="008E219B">
      <w:pPr>
        <w:jc w:val="both"/>
      </w:pPr>
      <w:r>
        <w:t>Ankete katılanların %79’u öğretim üyelerine ders saati dışında ulaşabildiklerini ifade etmişlerdir. 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5ABD7EC9" w14:textId="77777777" w:rsidR="008E219B" w:rsidRDefault="008E219B" w:rsidP="008E219B">
      <w:pPr>
        <w:jc w:val="both"/>
        <w:rPr>
          <w:noProof/>
        </w:rPr>
      </w:pPr>
      <w:r>
        <w:rPr>
          <w:noProof/>
        </w:rPr>
        <w:t xml:space="preserve">S 5 </w:t>
      </w:r>
      <w:r w:rsidRPr="00F90279">
        <w:rPr>
          <w:noProof/>
        </w:rPr>
        <w:t>Dersler bizi çalışma hayatına hazırlamaktadır.</w:t>
      </w:r>
    </w:p>
    <w:p w14:paraId="32B5C7B4" w14:textId="77777777" w:rsidR="008E219B" w:rsidRDefault="008E219B" w:rsidP="008E219B">
      <w:pPr>
        <w:jc w:val="both"/>
      </w:pPr>
      <w:r>
        <w:rPr>
          <w:noProof/>
        </w:rPr>
        <w:drawing>
          <wp:inline distT="0" distB="0" distL="0" distR="0" wp14:anchorId="4FEACDF7" wp14:editId="7DEC6135">
            <wp:extent cx="5486400" cy="1592580"/>
            <wp:effectExtent l="0" t="0" r="0" b="0"/>
            <wp:docPr id="948370029"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BB0056" w14:textId="77777777" w:rsidR="008E219B" w:rsidRDefault="008E219B" w:rsidP="008E219B">
      <w:pPr>
        <w:jc w:val="both"/>
      </w:pPr>
    </w:p>
    <w:p w14:paraId="5B08A2B5" w14:textId="77777777" w:rsidR="008E219B" w:rsidRDefault="008E219B" w:rsidP="008E219B">
      <w:pPr>
        <w:jc w:val="both"/>
      </w:pPr>
      <w:r>
        <w:lastRenderedPageBreak/>
        <w:t>Ankete katılan öğrencilerin %40’ı derslerin kendilerini çalışma hayatına hazırladığını ifade etmektedir. Bu oran bir önceki ankette %29, 2022 anketinde ise %20’dir. Dolayısıyla 2022’den 2024 yılına kadar geçen zamanda %100’lük bir iyileşme yaşanmıştır. Maliye bölümünün ders programı kamunun ve özel sektörün gereksinimlerine göre sürekli olarak yenilenmekte ve öğrencilerimizin gelecekte ihtiyaç duyabileceği seçmeli ve zorunlu dersler müfredata eklenmektedir. Böylelikle gelecek yıllarda bu oranın daha da yükselmesi beklenmektedir.</w:t>
      </w:r>
    </w:p>
    <w:p w14:paraId="7556CDD3" w14:textId="77777777" w:rsidR="008E219B" w:rsidRDefault="008E219B" w:rsidP="008E219B">
      <w:pPr>
        <w:jc w:val="both"/>
      </w:pPr>
      <w:r>
        <w:t xml:space="preserve">S. 6 </w:t>
      </w:r>
      <w:r w:rsidRPr="00877314">
        <w:t>Öğretim elemanları derslerin işlenişi hakkında detaylı bilgi vermektedir.</w:t>
      </w:r>
    </w:p>
    <w:p w14:paraId="1E2300DB" w14:textId="77777777" w:rsidR="008E219B" w:rsidRDefault="008E219B" w:rsidP="008E219B">
      <w:pPr>
        <w:jc w:val="both"/>
      </w:pPr>
      <w:r>
        <w:rPr>
          <w:noProof/>
        </w:rPr>
        <w:drawing>
          <wp:inline distT="0" distB="0" distL="0" distR="0" wp14:anchorId="705A1E58" wp14:editId="4C4B0BFB">
            <wp:extent cx="5486400" cy="1158240"/>
            <wp:effectExtent l="0" t="0" r="0" b="0"/>
            <wp:docPr id="1564157477"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E485EF" w14:textId="77777777" w:rsidR="008E219B" w:rsidRDefault="008E219B" w:rsidP="008E219B">
      <w:pPr>
        <w:tabs>
          <w:tab w:val="left" w:pos="1170"/>
        </w:tabs>
        <w:jc w:val="both"/>
        <w:rPr>
          <w:noProof/>
        </w:rPr>
      </w:pPr>
      <w:r>
        <w:rPr>
          <w:noProof/>
        </w:rPr>
        <w:t xml:space="preserve">Ankete katılan öğrencilerein yaklaşık % 45’i öğretim üyelerinin dersin işlenişi hakkında önceden bilgi verdiğini belirtmektedirler. </w:t>
      </w:r>
    </w:p>
    <w:p w14:paraId="3CF2FA64" w14:textId="77777777" w:rsidR="008E219B" w:rsidRDefault="008E219B" w:rsidP="008E219B">
      <w:pPr>
        <w:jc w:val="both"/>
        <w:rPr>
          <w:noProof/>
        </w:rPr>
      </w:pPr>
      <w:r>
        <w:rPr>
          <w:noProof/>
        </w:rPr>
        <w:t xml:space="preserve">S. 7 </w:t>
      </w:r>
      <w:r w:rsidRPr="00877314">
        <w:rPr>
          <w:noProof/>
        </w:rPr>
        <w:t>Ders planlarına ve ders programına rahatlıkla ulaşılabilmektedir.</w:t>
      </w:r>
    </w:p>
    <w:p w14:paraId="507C9CA1" w14:textId="77777777" w:rsidR="008E219B" w:rsidRDefault="008E219B" w:rsidP="008E219B">
      <w:pPr>
        <w:jc w:val="both"/>
      </w:pPr>
      <w:r>
        <w:rPr>
          <w:noProof/>
        </w:rPr>
        <w:drawing>
          <wp:inline distT="0" distB="0" distL="0" distR="0" wp14:anchorId="76177951" wp14:editId="7D961028">
            <wp:extent cx="5486400" cy="1516380"/>
            <wp:effectExtent l="0" t="0" r="0" b="0"/>
            <wp:docPr id="940798319"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919F35" w14:textId="77777777" w:rsidR="008E219B" w:rsidRDefault="008E219B" w:rsidP="008E219B">
      <w:pPr>
        <w:jc w:val="both"/>
      </w:pPr>
      <w:r>
        <w:t>Ankete katılan öğrencilerin yaklaşık %78’i ders plan ve programlarına rahat bir şekilde ulaştıklarını ifade etmişlerdir Bu oran 2022’de %66, %74’tür. Dolayısıyla 2022’den itibaren  söz konusu göstergede yaklaşık %20’lik bir iyileşme yaşanmıştır. Maliye bölümü öğrencileri bireysel UBYS adreslerinden ve ÇÖMÜ Eğitim Kataloğundan rahatlıkla ulaşabilmektedir.</w:t>
      </w:r>
    </w:p>
    <w:p w14:paraId="0895A27A" w14:textId="77777777" w:rsidR="008E219B" w:rsidRDefault="008E219B" w:rsidP="008E219B">
      <w:pPr>
        <w:jc w:val="both"/>
      </w:pPr>
      <w:r>
        <w:t xml:space="preserve">S.8 </w:t>
      </w:r>
      <w:r w:rsidRPr="00877314">
        <w:t>Dersler önceden belirlenen plana uygun olarak işlenmektedir.</w:t>
      </w:r>
    </w:p>
    <w:p w14:paraId="6F86DD36" w14:textId="77777777" w:rsidR="008E219B" w:rsidRDefault="008E219B" w:rsidP="008E219B">
      <w:pPr>
        <w:jc w:val="both"/>
      </w:pPr>
      <w:r>
        <w:rPr>
          <w:noProof/>
        </w:rPr>
        <w:drawing>
          <wp:inline distT="0" distB="0" distL="0" distR="0" wp14:anchorId="00F6D8EE" wp14:editId="18ECC275">
            <wp:extent cx="5486400" cy="1303020"/>
            <wp:effectExtent l="0" t="0" r="0" b="0"/>
            <wp:docPr id="1774549915"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E157FB" w14:textId="77777777" w:rsidR="008E219B" w:rsidRPr="0036362F" w:rsidRDefault="008E219B" w:rsidP="008E219B">
      <w:r>
        <w:t>Ankete katılan öğrencilerin yaklaşık %73’ü derslerin önceden belirlenen plana göre işlendiğini,%21’i bu konuda kararsız olduğunu %6’sı ise bu görüşe katılmadığını ifade etmektedir.</w:t>
      </w:r>
    </w:p>
    <w:p w14:paraId="16F8F94D" w14:textId="77777777" w:rsidR="008E219B" w:rsidRDefault="008E219B" w:rsidP="008E219B">
      <w:pPr>
        <w:jc w:val="both"/>
      </w:pPr>
    </w:p>
    <w:p w14:paraId="6880AC87" w14:textId="77777777" w:rsidR="008E219B" w:rsidRDefault="008E219B" w:rsidP="008E219B">
      <w:pPr>
        <w:jc w:val="both"/>
      </w:pPr>
    </w:p>
    <w:p w14:paraId="2B67A1AB" w14:textId="77777777" w:rsidR="008E219B" w:rsidRPr="00877314" w:rsidRDefault="008E219B" w:rsidP="008E219B">
      <w:pPr>
        <w:jc w:val="both"/>
      </w:pPr>
      <w:r>
        <w:t xml:space="preserve">Soru 9 </w:t>
      </w:r>
      <w:r w:rsidRPr="00877314">
        <w:t>Öğretim elemanları derslere zamanında gelmektedir.</w:t>
      </w:r>
    </w:p>
    <w:p w14:paraId="41B1E2CE" w14:textId="77777777" w:rsidR="008E219B" w:rsidRDefault="008E219B" w:rsidP="008E219B">
      <w:pPr>
        <w:tabs>
          <w:tab w:val="left" w:pos="1290"/>
        </w:tabs>
        <w:jc w:val="both"/>
        <w:rPr>
          <w:noProof/>
        </w:rPr>
      </w:pPr>
      <w:r>
        <w:rPr>
          <w:noProof/>
        </w:rPr>
        <w:drawing>
          <wp:inline distT="0" distB="0" distL="0" distR="0" wp14:anchorId="4DECCB7C" wp14:editId="1047363E">
            <wp:extent cx="5486400" cy="1699260"/>
            <wp:effectExtent l="0" t="0" r="0" b="0"/>
            <wp:docPr id="1630846445"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56CFD3" w14:textId="77777777" w:rsidR="008E219B" w:rsidRDefault="008E219B" w:rsidP="008E219B">
      <w:pPr>
        <w:jc w:val="both"/>
        <w:rPr>
          <w:noProof/>
        </w:rPr>
      </w:pPr>
      <w:r>
        <w:rPr>
          <w:noProof/>
        </w:rPr>
        <w:t>Ankete katılan öğrencilerin yaklaşık %73’ü öğretim üyelerinin derse zamanında geldiklerini ifade etmişlerdir. Bu oran 2023’te  %62 ve 2022’de %65 olarak gerçekleşmiştir. Dolayısıyla bu konuda ciddi bir iyileşme söz konusudur. Bu konuda gerekli çalışmalar yapılmaktadır.</w:t>
      </w:r>
    </w:p>
    <w:p w14:paraId="7D6FCD6E" w14:textId="77777777" w:rsidR="008E219B" w:rsidRDefault="008E219B" w:rsidP="008E219B">
      <w:pPr>
        <w:jc w:val="both"/>
        <w:rPr>
          <w:noProof/>
        </w:rPr>
      </w:pPr>
      <w:r>
        <w:rPr>
          <w:noProof/>
        </w:rPr>
        <w:t xml:space="preserve">S. 10 </w:t>
      </w:r>
      <w:r w:rsidRPr="00877314">
        <w:rPr>
          <w:noProof/>
        </w:rPr>
        <w:t>Öğretim elemanları ders saatlerini etkili olarak kullanmaktadır.</w:t>
      </w:r>
    </w:p>
    <w:p w14:paraId="4528F7DC" w14:textId="77777777" w:rsidR="008E219B" w:rsidRDefault="008E219B" w:rsidP="008E219B">
      <w:pPr>
        <w:jc w:val="both"/>
        <w:rPr>
          <w:noProof/>
        </w:rPr>
      </w:pPr>
      <w:r>
        <w:rPr>
          <w:noProof/>
        </w:rPr>
        <w:drawing>
          <wp:inline distT="0" distB="0" distL="0" distR="0" wp14:anchorId="16F8B0C2" wp14:editId="5DA1B9D9">
            <wp:extent cx="5486400" cy="1303020"/>
            <wp:effectExtent l="0" t="0" r="0" b="0"/>
            <wp:docPr id="1441026612"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B99959" w14:textId="77777777" w:rsidR="008E219B" w:rsidRDefault="008E219B" w:rsidP="008E219B">
      <w:pPr>
        <w:jc w:val="both"/>
        <w:rPr>
          <w:noProof/>
        </w:rPr>
      </w:pPr>
      <w:r>
        <w:rPr>
          <w:noProof/>
        </w:rPr>
        <w:t>Ankete katılan öğrencilerin %66’sı öğretim elemanlarının ders saatlerini etkili kullandığını ifade etmişlerdir.</w:t>
      </w:r>
    </w:p>
    <w:p w14:paraId="1E3CD0CA" w14:textId="77777777" w:rsidR="008E219B" w:rsidRDefault="008E219B" w:rsidP="008E219B">
      <w:pPr>
        <w:jc w:val="both"/>
        <w:rPr>
          <w:noProof/>
        </w:rPr>
      </w:pPr>
      <w:r>
        <w:rPr>
          <w:noProof/>
        </w:rPr>
        <w:t xml:space="preserve">S. 11 </w:t>
      </w:r>
      <w:r w:rsidRPr="00877314">
        <w:rPr>
          <w:noProof/>
        </w:rPr>
        <w:t>Öğretim elemanları dönem başında dersle ilgili ana ve yardımcı kaynaklar önermektedir.</w:t>
      </w:r>
    </w:p>
    <w:p w14:paraId="1E22869D" w14:textId="77777777" w:rsidR="008E219B" w:rsidRDefault="008E219B" w:rsidP="008E219B">
      <w:pPr>
        <w:jc w:val="both"/>
        <w:rPr>
          <w:noProof/>
        </w:rPr>
      </w:pPr>
      <w:r>
        <w:rPr>
          <w:noProof/>
        </w:rPr>
        <w:drawing>
          <wp:inline distT="0" distB="0" distL="0" distR="0" wp14:anchorId="20639C97" wp14:editId="287B0FC5">
            <wp:extent cx="5486400" cy="1181100"/>
            <wp:effectExtent l="0" t="0" r="0" b="0"/>
            <wp:docPr id="1742038904"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92F57A" w14:textId="77777777" w:rsidR="008E219B" w:rsidRDefault="008E219B" w:rsidP="008E219B">
      <w:pPr>
        <w:jc w:val="both"/>
        <w:rPr>
          <w:noProof/>
        </w:rPr>
      </w:pPr>
      <w:r>
        <w:rPr>
          <w:noProof/>
        </w:rPr>
        <w:t>Ankete katılan öğrencilerin yaklaşık %64’ü öğretim elemanlarının dönem başında ana ve yardımcı kaynakları önerdiğini ifade etmişlerdir. Programda ders veren öğretim üyeleri ders dönemi boyunca hangi kaynakları takip edeceğini ilişkin bilgileri ÇÖMÜ Eğitim Katoloğuna yüklemektedir. Öğrenciler söz konusu katologtan bu kaynaklara ulaşabilmektedir.</w:t>
      </w:r>
    </w:p>
    <w:p w14:paraId="79E004E3" w14:textId="77777777" w:rsidR="008E219B" w:rsidRDefault="008E219B" w:rsidP="008E219B">
      <w:pPr>
        <w:jc w:val="both"/>
      </w:pPr>
      <w:r>
        <w:t xml:space="preserve">S. 12 </w:t>
      </w:r>
      <w:r w:rsidRPr="00877314">
        <w:t>Öğretim elemanlarının hazırladığı ders içeriklerine UBYS üzerinden kolayca ulaşılmaktadır.</w:t>
      </w:r>
    </w:p>
    <w:p w14:paraId="222861D1" w14:textId="77777777" w:rsidR="008E219B" w:rsidRDefault="008E219B" w:rsidP="008E219B">
      <w:pPr>
        <w:jc w:val="both"/>
      </w:pPr>
      <w:r>
        <w:rPr>
          <w:noProof/>
        </w:rPr>
        <w:drawing>
          <wp:inline distT="0" distB="0" distL="0" distR="0" wp14:anchorId="1418B3EA" wp14:editId="12BAC618">
            <wp:extent cx="5486400" cy="1600200"/>
            <wp:effectExtent l="0" t="0" r="0" b="0"/>
            <wp:docPr id="1680812488"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t xml:space="preserve"> </w:t>
      </w:r>
      <w:r w:rsidRPr="00877314">
        <w:t>Öğretim elemanlarının hazırladığı ders içeriklerine UBYS üzerinden kolayca ulaşıl</w:t>
      </w:r>
      <w:r>
        <w:t xml:space="preserve">abildiğini ifade edenlerin oranı %42’dir. Maliye bölümünde verilen tüm derslerin içeriklerinin UBYS girilmesi zorunludur. Öğrencileri ders içeriklerine ve derslerle ilgili diğer tüm unsurlar (AKTS ve dersin kaç saat olduğu vb.) kolayca ulaşabilmektedirler. </w:t>
      </w:r>
    </w:p>
    <w:p w14:paraId="023D5164" w14:textId="77777777" w:rsidR="008E219B" w:rsidRDefault="008E219B" w:rsidP="008E219B">
      <w:pPr>
        <w:jc w:val="both"/>
      </w:pPr>
      <w:r>
        <w:t xml:space="preserve">S. 13 </w:t>
      </w:r>
      <w:r w:rsidRPr="005208B9">
        <w:t>Öğretim elemanları tarafından derslere öğrencilerin aktif katılımını sağlayan yöntem ve teknikler kullanılmaktadır.</w:t>
      </w:r>
    </w:p>
    <w:p w14:paraId="0568213B" w14:textId="77777777" w:rsidR="008E219B" w:rsidRDefault="008E219B" w:rsidP="008E219B">
      <w:pPr>
        <w:jc w:val="both"/>
        <w:rPr>
          <w:noProof/>
        </w:rPr>
      </w:pPr>
      <w:r>
        <w:rPr>
          <w:noProof/>
        </w:rPr>
        <w:drawing>
          <wp:inline distT="0" distB="0" distL="0" distR="0" wp14:anchorId="224E2F08" wp14:editId="2C6F151B">
            <wp:extent cx="5486400" cy="2072640"/>
            <wp:effectExtent l="0" t="0" r="0" b="0"/>
            <wp:docPr id="951303813"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CF74E2" w14:textId="77777777" w:rsidR="008E219B" w:rsidRDefault="008E219B" w:rsidP="008E219B">
      <w:pPr>
        <w:jc w:val="both"/>
        <w:rPr>
          <w:noProof/>
        </w:rPr>
      </w:pPr>
      <w:r>
        <w:rPr>
          <w:noProof/>
        </w:rPr>
        <w:t>Ankete katılan öğrencilerin %51’i maliye bölümü öğretim üyelerinin derslere öğrencilerin aktif katılımını sağlayan yöntem ve teknikleri kullandığını ifade etmişlerdir. Bu oran 2022’de % 48, 2021’de ise %33’tür. Ankete katılanların %18’si öğretim üyelerinin öğrencilerin aktif katılımını sağlayan yöntemleri kullanmadığını, geri kalan öğrenciler ise bu konuda kararsız olduklarını ifade etmişlerdir. Maliye bölümü öğretim üyelerinin dersi işlerken kullandıkkları/kullanacakları yöntem ve teknikler ders katologunda yer almaktadır. Söz konusu katologa bakıldığında çok sayıda öğretim üyesinin öğrencilerin derse aktif katılımını sağlayan yöntem ve teknikleri kullandıkları görülmektedir.</w:t>
      </w:r>
    </w:p>
    <w:p w14:paraId="5FC3BF28" w14:textId="77777777" w:rsidR="008E219B" w:rsidRDefault="008E219B" w:rsidP="008E219B">
      <w:pPr>
        <w:jc w:val="both"/>
        <w:rPr>
          <w:noProof/>
        </w:rPr>
      </w:pPr>
      <w:r>
        <w:rPr>
          <w:noProof/>
        </w:rPr>
        <w:t xml:space="preserve">S. 14 </w:t>
      </w:r>
      <w:r w:rsidRPr="00615BC1">
        <w:rPr>
          <w:noProof/>
        </w:rPr>
        <w:t>Ders dışı zamanlarda öğretim elemanlarına ulaşılabilmektedir.</w:t>
      </w:r>
    </w:p>
    <w:p w14:paraId="738953E6" w14:textId="77777777" w:rsidR="008E219B" w:rsidRDefault="008E219B" w:rsidP="008E219B">
      <w:pPr>
        <w:jc w:val="both"/>
        <w:rPr>
          <w:noProof/>
        </w:rPr>
      </w:pPr>
      <w:r>
        <w:rPr>
          <w:noProof/>
        </w:rPr>
        <w:drawing>
          <wp:inline distT="0" distB="0" distL="0" distR="0" wp14:anchorId="3C89866C" wp14:editId="02F6C05E">
            <wp:extent cx="5486400" cy="1181100"/>
            <wp:effectExtent l="0" t="0" r="0" b="0"/>
            <wp:docPr id="132181805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t xml:space="preserve"> </w:t>
      </w:r>
    </w:p>
    <w:p w14:paraId="766486DA" w14:textId="77777777" w:rsidR="008E219B" w:rsidRDefault="008E219B" w:rsidP="008E219B">
      <w:pPr>
        <w:jc w:val="both"/>
        <w:rPr>
          <w:noProof/>
        </w:rPr>
      </w:pPr>
      <w:r>
        <w:rPr>
          <w:noProof/>
        </w:rPr>
        <w:t xml:space="preserve">Ankete katılan öğrencilerin %33’ü öğretim üyelerine ders saati dışında kolay bir şekilde ulaşabildiğini ifade etmişlerdir. </w:t>
      </w:r>
      <w:r>
        <w:t>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09965368" w14:textId="77777777" w:rsidR="008E219B" w:rsidRDefault="008E219B" w:rsidP="008E219B">
      <w:pPr>
        <w:jc w:val="both"/>
      </w:pPr>
      <w:r>
        <w:t xml:space="preserve">S. 15 </w:t>
      </w:r>
      <w:r w:rsidRPr="005A1250">
        <w:t>Öğretim elemanları ile öğrenciler arasında güçlü bir iletişim vardır.</w:t>
      </w:r>
    </w:p>
    <w:p w14:paraId="670A7A25" w14:textId="77777777" w:rsidR="008E219B" w:rsidRDefault="008E219B" w:rsidP="008E219B">
      <w:pPr>
        <w:jc w:val="both"/>
      </w:pPr>
      <w:r>
        <w:rPr>
          <w:noProof/>
        </w:rPr>
        <w:drawing>
          <wp:inline distT="0" distB="0" distL="0" distR="0" wp14:anchorId="4F3E958A" wp14:editId="2EFB9C3D">
            <wp:extent cx="5486400" cy="1554480"/>
            <wp:effectExtent l="0" t="0" r="0" b="0"/>
            <wp:docPr id="298705981"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FCD495" w14:textId="77777777" w:rsidR="008E219B" w:rsidRDefault="008E219B" w:rsidP="008E219B">
      <w:pPr>
        <w:jc w:val="both"/>
      </w:pPr>
      <w:r>
        <w:t xml:space="preserve">Ankete katılan öğrencilerin %39 bu soruya olumlu yanıt vermiştir. </w:t>
      </w:r>
    </w:p>
    <w:p w14:paraId="59740443" w14:textId="77777777" w:rsidR="008E219B" w:rsidRPr="00615BC1" w:rsidRDefault="008E219B" w:rsidP="008E219B">
      <w:pPr>
        <w:jc w:val="both"/>
        <w:rPr>
          <w:noProof/>
        </w:rPr>
      </w:pPr>
      <w:r>
        <w:rPr>
          <w:noProof/>
        </w:rPr>
        <w:t xml:space="preserve">S. 16 </w:t>
      </w:r>
      <w:r w:rsidRPr="00615BC1">
        <w:rPr>
          <w:noProof/>
        </w:rPr>
        <w:t>Sınav sonuçlarının değerlendirilmesi konusunda öğretim elemanları tarafsız davranmaktadır.</w:t>
      </w:r>
    </w:p>
    <w:p w14:paraId="52D457A7" w14:textId="77777777" w:rsidR="008E219B" w:rsidRDefault="008E219B" w:rsidP="008E219B">
      <w:pPr>
        <w:jc w:val="both"/>
        <w:rPr>
          <w:noProof/>
        </w:rPr>
      </w:pPr>
      <w:r>
        <w:rPr>
          <w:noProof/>
        </w:rPr>
        <w:drawing>
          <wp:inline distT="0" distB="0" distL="0" distR="0" wp14:anchorId="05A5971F" wp14:editId="3CA33443">
            <wp:extent cx="5486400" cy="1950720"/>
            <wp:effectExtent l="0" t="0" r="0" b="0"/>
            <wp:docPr id="1348498212"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338F4A" w14:textId="77777777" w:rsidR="008E219B" w:rsidRDefault="008E219B" w:rsidP="008E219B">
      <w:pPr>
        <w:jc w:val="both"/>
        <w:rPr>
          <w:noProof/>
        </w:rPr>
      </w:pPr>
      <w:r>
        <w:rPr>
          <w:noProof/>
        </w:rPr>
        <w:t xml:space="preserve">Ankete katılan öğrencilerin %54’ü sınavların değerlendirilmesinde öğretim üyelerinin tarafsız olduğunu düşünürken, %27’si ise tarafsız olmadığını düşünmektedir. 2023’teki ankette %51, 2022’deki ankette ise %38’dir. Maliye bölümünde öğrenci sayısı çok olduğu için sınavların çoğunluğu test olarak yapılmaktadır. Bilindiği üzere test sınavları optik okuyucudan geçmekte ve öğrencinin notu optik okuyucu tarafından verilmektedir. Bu nedenle öğretim üyeleri sınav sonuçlarına müdahil olmamaktadır. </w:t>
      </w:r>
    </w:p>
    <w:p w14:paraId="500CD9C1" w14:textId="77777777" w:rsidR="008E219B" w:rsidRDefault="008E219B" w:rsidP="008E219B">
      <w:pPr>
        <w:jc w:val="both"/>
        <w:rPr>
          <w:noProof/>
        </w:rPr>
      </w:pPr>
      <w:r>
        <w:rPr>
          <w:noProof/>
        </w:rPr>
        <w:t xml:space="preserve">S. 17 </w:t>
      </w:r>
      <w:r w:rsidRPr="00B76FF5">
        <w:rPr>
          <w:noProof/>
        </w:rPr>
        <w:t>Dönem başında öğretim elemanları tarafından öğrencilere ölçme ve değerlendirme kriterleri açıklanmaktadır.</w:t>
      </w:r>
    </w:p>
    <w:p w14:paraId="180AB315" w14:textId="77777777" w:rsidR="008E219B" w:rsidRDefault="008E219B" w:rsidP="008E219B">
      <w:pPr>
        <w:jc w:val="both"/>
        <w:rPr>
          <w:noProof/>
        </w:rPr>
      </w:pPr>
      <w:r>
        <w:rPr>
          <w:noProof/>
        </w:rPr>
        <w:drawing>
          <wp:inline distT="0" distB="0" distL="0" distR="0" wp14:anchorId="5C18CA6D" wp14:editId="3E1A9A81">
            <wp:extent cx="5486400" cy="2186940"/>
            <wp:effectExtent l="0" t="0" r="0" b="0"/>
            <wp:docPr id="1508088207"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D84EAAB" w14:textId="77777777" w:rsidR="008E219B" w:rsidRDefault="008E219B" w:rsidP="008E219B">
      <w:pPr>
        <w:tabs>
          <w:tab w:val="left" w:pos="1020"/>
        </w:tabs>
        <w:jc w:val="both"/>
        <w:rPr>
          <w:noProof/>
        </w:rPr>
      </w:pPr>
      <w:r>
        <w:rPr>
          <w:noProof/>
        </w:rPr>
        <w:t>Ankete katılan öğrencilerin %45’i d</w:t>
      </w:r>
      <w:r w:rsidRPr="00B76FF5">
        <w:rPr>
          <w:noProof/>
        </w:rPr>
        <w:t>önem başında öğretim elemanları tarafından öğrencilere ölçme ve değerlendirme kriterleri açıklan</w:t>
      </w:r>
      <w:r>
        <w:rPr>
          <w:noProof/>
        </w:rPr>
        <w:t>dığını ifade etmişlerdir. Maliye bölümüne yeni kayıt yaptıran öğrencilere oryantasyon eğitimi verilmektedir. Bu eğitimde öğrencilere ölçme ve değerlendirme konularından displin cezalarına ve maliye mezunlarının iş olanaklarına kadar çok sayıda konuda öğrencilere bilgiler verilmektedir.</w:t>
      </w:r>
    </w:p>
    <w:p w14:paraId="1F2B8B3F" w14:textId="77777777" w:rsidR="008E219B" w:rsidRPr="00412B24" w:rsidRDefault="008E219B" w:rsidP="008E219B">
      <w:pPr>
        <w:jc w:val="both"/>
      </w:pPr>
      <w:r>
        <w:t xml:space="preserve">S. 18 </w:t>
      </w:r>
      <w:r w:rsidRPr="00412B24">
        <w:t>Belirlenen danışmanlık saatlerinde danışmanımla görüşebiliyorum.</w:t>
      </w:r>
    </w:p>
    <w:p w14:paraId="6489C3BB" w14:textId="77777777" w:rsidR="008E219B" w:rsidRDefault="008E219B" w:rsidP="008E219B">
      <w:pPr>
        <w:jc w:val="both"/>
      </w:pPr>
      <w:r>
        <w:rPr>
          <w:noProof/>
        </w:rPr>
        <w:drawing>
          <wp:inline distT="0" distB="0" distL="0" distR="0" wp14:anchorId="1DA617B7" wp14:editId="07E87A96">
            <wp:extent cx="5486400" cy="1889760"/>
            <wp:effectExtent l="0" t="0" r="0" b="0"/>
            <wp:docPr id="1948513356"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26C097" w14:textId="77777777" w:rsidR="008E219B" w:rsidRDefault="008E219B" w:rsidP="008E219B">
      <w:pPr>
        <w:jc w:val="both"/>
      </w:pPr>
      <w:r>
        <w:t xml:space="preserve">Ankete katılan öğrencilerin %66’sı görüşme saatlerin danışmanları ile görüşebildiğini ifade etmişlerdir. </w:t>
      </w:r>
    </w:p>
    <w:p w14:paraId="2DB72AA9" w14:textId="77777777" w:rsidR="008E219B" w:rsidRDefault="008E219B" w:rsidP="008E219B">
      <w:pPr>
        <w:jc w:val="both"/>
      </w:pPr>
      <w:r>
        <w:t xml:space="preserve">S. 19 </w:t>
      </w:r>
      <w:r w:rsidRPr="00DB4570">
        <w:t>Erasmus, Farabi ve Mevlana programları ve bölümün işbirlikleri hakkında bilgi sahibiyim</w:t>
      </w:r>
    </w:p>
    <w:p w14:paraId="66EC6C02" w14:textId="77777777" w:rsidR="008E219B" w:rsidRDefault="008E219B" w:rsidP="008E219B">
      <w:pPr>
        <w:jc w:val="both"/>
      </w:pPr>
      <w:r>
        <w:rPr>
          <w:noProof/>
        </w:rPr>
        <w:drawing>
          <wp:inline distT="0" distB="0" distL="0" distR="0" wp14:anchorId="7CB37B52" wp14:editId="0C8EE6CA">
            <wp:extent cx="5486400" cy="1813560"/>
            <wp:effectExtent l="0" t="0" r="0" b="0"/>
            <wp:docPr id="1727298694"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6F88808" w14:textId="77777777" w:rsidR="008E219B" w:rsidRDefault="008E219B" w:rsidP="008E219B">
      <w:pPr>
        <w:jc w:val="both"/>
      </w:pPr>
      <w:r>
        <w:t>Ankete katılan öğrencilerin yaklaşık %28’i değişim programları ile ilgili bölümün işbirlikleri hakkında bilgi sahibi olmadıklarını ifade etmişlerdir. Değişim programları konusu maliye lisans programının önemli eksiklerinden bir tanesidir. Öğretim üyelerine yapılan memnuniyet anketinde de konu ile ilgili sorular öğretim üyelerine yöneltilmiş ve öğretim üyeleri de bu verdikleri cevaplarla bu eksikliğe vurgu yapmışlardır. Bu eksikliğin giderilebilmesi yıl içerisinde çeşitli etkinliklerin düzenlenmesi planlanmaktadır.</w:t>
      </w:r>
    </w:p>
    <w:p w14:paraId="578765AF" w14:textId="77777777" w:rsidR="008E219B" w:rsidRDefault="008E219B" w:rsidP="008E219B">
      <w:pPr>
        <w:jc w:val="both"/>
      </w:pPr>
      <w:r>
        <w:t xml:space="preserve">S. 20 </w:t>
      </w:r>
      <w:r w:rsidRPr="00550F96">
        <w:t>Erasmus ve Mevlana programları kapsamında bölümün uluslararası işbirliği imkanları yeterlidir.</w:t>
      </w:r>
    </w:p>
    <w:p w14:paraId="0054CF0F" w14:textId="77777777" w:rsidR="008E219B" w:rsidRDefault="008E219B" w:rsidP="008E219B">
      <w:pPr>
        <w:jc w:val="both"/>
      </w:pPr>
      <w:r>
        <w:rPr>
          <w:noProof/>
        </w:rPr>
        <w:drawing>
          <wp:inline distT="0" distB="0" distL="0" distR="0" wp14:anchorId="6138795F" wp14:editId="4E950EDF">
            <wp:extent cx="5486400" cy="1668780"/>
            <wp:effectExtent l="0" t="0" r="0" b="0"/>
            <wp:docPr id="253015258"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09815D1" w14:textId="77777777" w:rsidR="008E219B" w:rsidRDefault="008E219B" w:rsidP="008E219B">
      <w:pPr>
        <w:jc w:val="both"/>
      </w:pPr>
      <w:r>
        <w:t>Maliye bölümünün Erasmus programı kapsamında 2027 yılına kadar geçerli olmak üzere farklı ülke ve üniversitelerle anlaşmaları mevcuttur. Bu anlaşmaların arttırılması için çalışmalara sürmektedir.</w:t>
      </w:r>
    </w:p>
    <w:p w14:paraId="7589C293" w14:textId="77777777" w:rsidR="008E219B" w:rsidRDefault="008E219B" w:rsidP="008E219B">
      <w:pPr>
        <w:jc w:val="both"/>
      </w:pPr>
      <w:r>
        <w:t xml:space="preserve">S. 21 </w:t>
      </w:r>
      <w:r w:rsidRPr="009D1341">
        <w:t>Ders dışı düzenlenen etkinliklere (konferans, seminer vb.) katılma fırsatı buldum.</w:t>
      </w:r>
    </w:p>
    <w:p w14:paraId="40FA6CDA" w14:textId="77777777" w:rsidR="008E219B" w:rsidRDefault="008E219B" w:rsidP="008E219B">
      <w:pPr>
        <w:jc w:val="both"/>
      </w:pPr>
      <w:r>
        <w:rPr>
          <w:noProof/>
        </w:rPr>
        <w:drawing>
          <wp:inline distT="0" distB="0" distL="0" distR="0" wp14:anchorId="4768674A" wp14:editId="0B4F5967">
            <wp:extent cx="5486400" cy="1958340"/>
            <wp:effectExtent l="0" t="0" r="0" b="0"/>
            <wp:docPr id="2133832002"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2EACF4" w14:textId="77777777" w:rsidR="008E219B" w:rsidRDefault="008E219B" w:rsidP="008E219B">
      <w:pPr>
        <w:jc w:val="both"/>
      </w:pPr>
      <w:r>
        <w:t>Ankete katılan öğrencilerin %63’ü etkinliklere katılım sağladığını belirtmişlerdir. 2024 yılı boyunca maliye bölümü tarafından çok sayıda kariyer eğitimi gerçekleştirilmiş ve birçok öğrenci bu etkinliklere katılmıştır.</w:t>
      </w:r>
    </w:p>
    <w:p w14:paraId="33ADEA9A" w14:textId="77777777" w:rsidR="008E219B" w:rsidRDefault="008E219B" w:rsidP="008E219B">
      <w:pPr>
        <w:jc w:val="both"/>
      </w:pPr>
      <w:r>
        <w:t xml:space="preserve">S. 22 </w:t>
      </w:r>
      <w:r w:rsidRPr="00C34534">
        <w:t>Ders dışında düzenlenen etkinliklerin (konferans, seminer vb.) faydalı olduğunu düşünüyorum.</w:t>
      </w:r>
    </w:p>
    <w:p w14:paraId="320DE73E" w14:textId="77777777" w:rsidR="008E219B" w:rsidRDefault="008E219B" w:rsidP="008E219B">
      <w:pPr>
        <w:jc w:val="both"/>
      </w:pPr>
      <w:r>
        <w:rPr>
          <w:noProof/>
        </w:rPr>
        <w:drawing>
          <wp:inline distT="0" distB="0" distL="0" distR="0" wp14:anchorId="7E257DE2" wp14:editId="7F5B5383">
            <wp:extent cx="5257800" cy="1661160"/>
            <wp:effectExtent l="0" t="0" r="0" b="0"/>
            <wp:docPr id="118497754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br w:type="textWrapping" w:clear="all"/>
        <w:t>Ankete katılan öğrencilerin yaklaşık %57’si ders dışında düzenlenen etkinlikleri faydalı bulmaktadır.</w:t>
      </w:r>
    </w:p>
    <w:p w14:paraId="5A6D126F" w14:textId="77777777" w:rsidR="008E219B" w:rsidRDefault="008E219B" w:rsidP="008E219B">
      <w:pPr>
        <w:jc w:val="both"/>
      </w:pPr>
      <w:r>
        <w:t xml:space="preserve">S. 23 </w:t>
      </w:r>
      <w:r w:rsidRPr="00600788">
        <w:t>Öğrenciler bölümün eğitim öğretim planının hazırlanmasına katkı vermektedir.</w:t>
      </w:r>
    </w:p>
    <w:p w14:paraId="25690F28" w14:textId="77777777" w:rsidR="008E219B" w:rsidRDefault="008E219B" w:rsidP="008E219B">
      <w:pPr>
        <w:jc w:val="both"/>
        <w:rPr>
          <w:noProof/>
        </w:rPr>
      </w:pPr>
      <w:r>
        <w:rPr>
          <w:noProof/>
        </w:rPr>
        <w:drawing>
          <wp:inline distT="0" distB="0" distL="0" distR="0" wp14:anchorId="6D9FD813" wp14:editId="28314B1D">
            <wp:extent cx="5486400" cy="1440180"/>
            <wp:effectExtent l="0" t="0" r="0" b="0"/>
            <wp:docPr id="884958644"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A773B69" w14:textId="77777777" w:rsidR="008E219B" w:rsidRDefault="008E219B" w:rsidP="008E219B">
      <w:pPr>
        <w:jc w:val="both"/>
      </w:pPr>
      <w:r>
        <w:t xml:space="preserve">Ankete katılan öğrencilerin %33’ü </w:t>
      </w:r>
      <w:r w:rsidRPr="00600788">
        <w:t>bölümün eğitim öğretim planının hazırlanmasına katkı</w:t>
      </w:r>
      <w:r>
        <w:t xml:space="preserve"> verdiğini ifade etmektedir.</w:t>
      </w:r>
    </w:p>
    <w:p w14:paraId="5B2F08BB" w14:textId="77777777" w:rsidR="008E219B" w:rsidRDefault="008E219B" w:rsidP="008E219B">
      <w:pPr>
        <w:tabs>
          <w:tab w:val="left" w:pos="1410"/>
        </w:tabs>
        <w:jc w:val="both"/>
        <w:rPr>
          <w:noProof/>
        </w:rPr>
      </w:pPr>
      <w:r>
        <w:rPr>
          <w:noProof/>
        </w:rPr>
        <w:t>S. 24. Mezunların Mesleki Başarılarını Biliyorum</w:t>
      </w:r>
    </w:p>
    <w:p w14:paraId="366EC2C1" w14:textId="77777777" w:rsidR="008E219B" w:rsidRDefault="008E219B" w:rsidP="008E219B">
      <w:pPr>
        <w:tabs>
          <w:tab w:val="left" w:pos="1410"/>
        </w:tabs>
        <w:jc w:val="both"/>
        <w:rPr>
          <w:noProof/>
        </w:rPr>
      </w:pPr>
      <w:r>
        <w:rPr>
          <w:noProof/>
        </w:rPr>
        <w:drawing>
          <wp:inline distT="0" distB="0" distL="0" distR="0" wp14:anchorId="061B54E8" wp14:editId="6194F2B0">
            <wp:extent cx="5486400" cy="1295400"/>
            <wp:effectExtent l="0" t="0" r="0" b="0"/>
            <wp:docPr id="904326712"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2323144" w14:textId="77777777" w:rsidR="008E219B" w:rsidRPr="009E1436" w:rsidRDefault="008E219B" w:rsidP="008E219B">
      <w:pPr>
        <w:jc w:val="both"/>
      </w:pPr>
      <w:r>
        <w:t>Ankete katılanların yaklaşık %50’si bölümden mezun olanların başarılarını bildiğini ifade etmişlerdir.</w:t>
      </w:r>
    </w:p>
    <w:p w14:paraId="6A98DEA8" w14:textId="77777777" w:rsidR="008E219B" w:rsidRPr="000375FC" w:rsidRDefault="008E219B" w:rsidP="008E219B"/>
    <w:p w14:paraId="05A2D4E3" w14:textId="77777777" w:rsidR="008E219B" w:rsidRPr="00951385" w:rsidRDefault="008E219B" w:rsidP="008E219B"/>
    <w:p w14:paraId="52CDB39F" w14:textId="77777777" w:rsidR="008E219B" w:rsidRPr="00392ABB" w:rsidRDefault="008E219B" w:rsidP="008E219B"/>
    <w:p w14:paraId="3870CC94" w14:textId="77777777" w:rsidR="008E219B" w:rsidRPr="003A2178" w:rsidRDefault="008E219B" w:rsidP="008E219B"/>
    <w:p w14:paraId="5A65203B" w14:textId="77777777" w:rsidR="008E219B" w:rsidRPr="004A3278" w:rsidRDefault="008E219B" w:rsidP="008E219B"/>
    <w:p w14:paraId="08DF0D44" w14:textId="28C47714" w:rsidR="009E1436" w:rsidRPr="008E219B" w:rsidRDefault="009E1436" w:rsidP="008E219B"/>
    <w:sectPr w:rsidR="009E1436" w:rsidRPr="008E219B">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1ED7" w14:textId="77777777" w:rsidR="00A87C76" w:rsidRDefault="00A87C76" w:rsidP="00F90279">
      <w:pPr>
        <w:spacing w:after="0" w:line="240" w:lineRule="auto"/>
      </w:pPr>
      <w:r>
        <w:separator/>
      </w:r>
    </w:p>
  </w:endnote>
  <w:endnote w:type="continuationSeparator" w:id="0">
    <w:p w14:paraId="11C8BADD" w14:textId="77777777" w:rsidR="00A87C76" w:rsidRDefault="00A87C76" w:rsidP="00F9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C099" w14:textId="77777777" w:rsidR="00960D73" w:rsidRDefault="00960D7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C028" w14:textId="77777777" w:rsidR="00960D73" w:rsidRDefault="00960D7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B4FB" w14:textId="77777777" w:rsidR="00960D73" w:rsidRDefault="00960D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045F" w14:textId="77777777" w:rsidR="00A87C76" w:rsidRDefault="00A87C76" w:rsidP="00F90279">
      <w:pPr>
        <w:spacing w:after="0" w:line="240" w:lineRule="auto"/>
      </w:pPr>
      <w:r>
        <w:separator/>
      </w:r>
    </w:p>
  </w:footnote>
  <w:footnote w:type="continuationSeparator" w:id="0">
    <w:p w14:paraId="2CCB2DEE" w14:textId="77777777" w:rsidR="00A87C76" w:rsidRDefault="00A87C76" w:rsidP="00F90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A7CC" w14:textId="77777777" w:rsidR="00960D73" w:rsidRDefault="00960D7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6670" w14:textId="77777777" w:rsidR="00960D73" w:rsidRDefault="00960D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EAF1" w14:textId="77777777" w:rsidR="00960D73" w:rsidRDefault="00960D7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0AF5"/>
    <w:rsid w:val="000121D2"/>
    <w:rsid w:val="00017A25"/>
    <w:rsid w:val="000234B6"/>
    <w:rsid w:val="00025175"/>
    <w:rsid w:val="000254C0"/>
    <w:rsid w:val="00025896"/>
    <w:rsid w:val="00026400"/>
    <w:rsid w:val="0002645C"/>
    <w:rsid w:val="000276D4"/>
    <w:rsid w:val="000375FC"/>
    <w:rsid w:val="00037B0A"/>
    <w:rsid w:val="000639C5"/>
    <w:rsid w:val="00077F20"/>
    <w:rsid w:val="00093FD6"/>
    <w:rsid w:val="000946D9"/>
    <w:rsid w:val="000B17C2"/>
    <w:rsid w:val="000B1EAB"/>
    <w:rsid w:val="000D3E7F"/>
    <w:rsid w:val="000D574C"/>
    <w:rsid w:val="000D5EED"/>
    <w:rsid w:val="000F3226"/>
    <w:rsid w:val="000F5312"/>
    <w:rsid w:val="000F5F27"/>
    <w:rsid w:val="00102B3C"/>
    <w:rsid w:val="00112DB8"/>
    <w:rsid w:val="00115489"/>
    <w:rsid w:val="001275A7"/>
    <w:rsid w:val="00130CF8"/>
    <w:rsid w:val="00131519"/>
    <w:rsid w:val="00131DC3"/>
    <w:rsid w:val="0013221A"/>
    <w:rsid w:val="00133BDF"/>
    <w:rsid w:val="00136BDA"/>
    <w:rsid w:val="00140286"/>
    <w:rsid w:val="0016052D"/>
    <w:rsid w:val="00161136"/>
    <w:rsid w:val="001614B0"/>
    <w:rsid w:val="0016380A"/>
    <w:rsid w:val="00166602"/>
    <w:rsid w:val="00181344"/>
    <w:rsid w:val="00182E46"/>
    <w:rsid w:val="001854B9"/>
    <w:rsid w:val="001A0764"/>
    <w:rsid w:val="001B63DE"/>
    <w:rsid w:val="001C1BEA"/>
    <w:rsid w:val="001C50D8"/>
    <w:rsid w:val="001D3BBD"/>
    <w:rsid w:val="001E3095"/>
    <w:rsid w:val="001F15D2"/>
    <w:rsid w:val="001F2EF1"/>
    <w:rsid w:val="001F6CBF"/>
    <w:rsid w:val="002036DA"/>
    <w:rsid w:val="002042CE"/>
    <w:rsid w:val="002046A1"/>
    <w:rsid w:val="002167CA"/>
    <w:rsid w:val="002270A9"/>
    <w:rsid w:val="002369CF"/>
    <w:rsid w:val="00237BBB"/>
    <w:rsid w:val="002525C5"/>
    <w:rsid w:val="00253D79"/>
    <w:rsid w:val="0026140E"/>
    <w:rsid w:val="00261706"/>
    <w:rsid w:val="00266631"/>
    <w:rsid w:val="00267A8A"/>
    <w:rsid w:val="00277888"/>
    <w:rsid w:val="002802B0"/>
    <w:rsid w:val="00280DCB"/>
    <w:rsid w:val="0028452F"/>
    <w:rsid w:val="002860F1"/>
    <w:rsid w:val="002B3A72"/>
    <w:rsid w:val="002E0CD8"/>
    <w:rsid w:val="002E19A4"/>
    <w:rsid w:val="002F077D"/>
    <w:rsid w:val="003020D8"/>
    <w:rsid w:val="00306017"/>
    <w:rsid w:val="003108B8"/>
    <w:rsid w:val="00325F1A"/>
    <w:rsid w:val="00331D31"/>
    <w:rsid w:val="003379B2"/>
    <w:rsid w:val="00340E35"/>
    <w:rsid w:val="00340F87"/>
    <w:rsid w:val="0034202E"/>
    <w:rsid w:val="003426A1"/>
    <w:rsid w:val="0036362F"/>
    <w:rsid w:val="0036389A"/>
    <w:rsid w:val="003824B4"/>
    <w:rsid w:val="0038768A"/>
    <w:rsid w:val="00392ABB"/>
    <w:rsid w:val="00395FB1"/>
    <w:rsid w:val="00395FCE"/>
    <w:rsid w:val="003A2178"/>
    <w:rsid w:val="003A65E7"/>
    <w:rsid w:val="003B1597"/>
    <w:rsid w:val="003B6F08"/>
    <w:rsid w:val="003D32FB"/>
    <w:rsid w:val="003D717A"/>
    <w:rsid w:val="003E2442"/>
    <w:rsid w:val="00401758"/>
    <w:rsid w:val="00401C2B"/>
    <w:rsid w:val="0040674C"/>
    <w:rsid w:val="004108B0"/>
    <w:rsid w:val="00411968"/>
    <w:rsid w:val="00412B24"/>
    <w:rsid w:val="00424547"/>
    <w:rsid w:val="00430329"/>
    <w:rsid w:val="00431684"/>
    <w:rsid w:val="00437FF7"/>
    <w:rsid w:val="00446CA3"/>
    <w:rsid w:val="00457748"/>
    <w:rsid w:val="00457C69"/>
    <w:rsid w:val="00460FD7"/>
    <w:rsid w:val="0046686F"/>
    <w:rsid w:val="004837DF"/>
    <w:rsid w:val="004A26BC"/>
    <w:rsid w:val="004A3278"/>
    <w:rsid w:val="004A3CB8"/>
    <w:rsid w:val="004C0E1A"/>
    <w:rsid w:val="004C2EF3"/>
    <w:rsid w:val="004D381B"/>
    <w:rsid w:val="004D5618"/>
    <w:rsid w:val="004E4063"/>
    <w:rsid w:val="004F720F"/>
    <w:rsid w:val="0050248B"/>
    <w:rsid w:val="00502E1D"/>
    <w:rsid w:val="00504ED7"/>
    <w:rsid w:val="005208B9"/>
    <w:rsid w:val="00544131"/>
    <w:rsid w:val="00547A03"/>
    <w:rsid w:val="00550F96"/>
    <w:rsid w:val="005522BF"/>
    <w:rsid w:val="00553960"/>
    <w:rsid w:val="00564559"/>
    <w:rsid w:val="005852D8"/>
    <w:rsid w:val="00595EBA"/>
    <w:rsid w:val="005A1250"/>
    <w:rsid w:val="005A24B6"/>
    <w:rsid w:val="005A7D5B"/>
    <w:rsid w:val="005B61B0"/>
    <w:rsid w:val="005C318B"/>
    <w:rsid w:val="005D18CE"/>
    <w:rsid w:val="005D4AAE"/>
    <w:rsid w:val="005E264C"/>
    <w:rsid w:val="005E5ADB"/>
    <w:rsid w:val="005E6DBB"/>
    <w:rsid w:val="00600788"/>
    <w:rsid w:val="00600936"/>
    <w:rsid w:val="006018E2"/>
    <w:rsid w:val="00601D7E"/>
    <w:rsid w:val="00602F66"/>
    <w:rsid w:val="00603749"/>
    <w:rsid w:val="00615BC1"/>
    <w:rsid w:val="00632673"/>
    <w:rsid w:val="006338D4"/>
    <w:rsid w:val="00636331"/>
    <w:rsid w:val="00637094"/>
    <w:rsid w:val="0064526F"/>
    <w:rsid w:val="00647FFA"/>
    <w:rsid w:val="00655BB6"/>
    <w:rsid w:val="006609F5"/>
    <w:rsid w:val="006A0234"/>
    <w:rsid w:val="006A758D"/>
    <w:rsid w:val="006B283F"/>
    <w:rsid w:val="006D1C97"/>
    <w:rsid w:val="006D3E05"/>
    <w:rsid w:val="006D4EFF"/>
    <w:rsid w:val="006E7B12"/>
    <w:rsid w:val="006F021C"/>
    <w:rsid w:val="006F03FF"/>
    <w:rsid w:val="006F17B4"/>
    <w:rsid w:val="006F4867"/>
    <w:rsid w:val="007050E8"/>
    <w:rsid w:val="00707237"/>
    <w:rsid w:val="0071020F"/>
    <w:rsid w:val="007210FC"/>
    <w:rsid w:val="00731FA8"/>
    <w:rsid w:val="007337DA"/>
    <w:rsid w:val="007369F6"/>
    <w:rsid w:val="0074112F"/>
    <w:rsid w:val="0074250E"/>
    <w:rsid w:val="00755AEF"/>
    <w:rsid w:val="0077105D"/>
    <w:rsid w:val="007A44DC"/>
    <w:rsid w:val="007A5805"/>
    <w:rsid w:val="007B3294"/>
    <w:rsid w:val="007B3B31"/>
    <w:rsid w:val="007C4709"/>
    <w:rsid w:val="007C7CC4"/>
    <w:rsid w:val="007D156F"/>
    <w:rsid w:val="007E71C0"/>
    <w:rsid w:val="00802ADF"/>
    <w:rsid w:val="0081424C"/>
    <w:rsid w:val="00815823"/>
    <w:rsid w:val="008208B4"/>
    <w:rsid w:val="00823639"/>
    <w:rsid w:val="0082368C"/>
    <w:rsid w:val="008340D9"/>
    <w:rsid w:val="00842E58"/>
    <w:rsid w:val="008543F5"/>
    <w:rsid w:val="00870F93"/>
    <w:rsid w:val="00877314"/>
    <w:rsid w:val="008806D6"/>
    <w:rsid w:val="00890C58"/>
    <w:rsid w:val="00890D2E"/>
    <w:rsid w:val="008A1BC2"/>
    <w:rsid w:val="008A2A59"/>
    <w:rsid w:val="008A5218"/>
    <w:rsid w:val="008B55D5"/>
    <w:rsid w:val="008C41CA"/>
    <w:rsid w:val="008E0A96"/>
    <w:rsid w:val="008E219B"/>
    <w:rsid w:val="008E694B"/>
    <w:rsid w:val="009042DC"/>
    <w:rsid w:val="00912B53"/>
    <w:rsid w:val="00912C0D"/>
    <w:rsid w:val="00915CF7"/>
    <w:rsid w:val="009172D1"/>
    <w:rsid w:val="00931392"/>
    <w:rsid w:val="00931D6D"/>
    <w:rsid w:val="009331FA"/>
    <w:rsid w:val="0095051D"/>
    <w:rsid w:val="00951385"/>
    <w:rsid w:val="009563A3"/>
    <w:rsid w:val="00960D73"/>
    <w:rsid w:val="00961748"/>
    <w:rsid w:val="0096792A"/>
    <w:rsid w:val="00986F8B"/>
    <w:rsid w:val="00997F21"/>
    <w:rsid w:val="009B6F05"/>
    <w:rsid w:val="009B78FA"/>
    <w:rsid w:val="009C1494"/>
    <w:rsid w:val="009C5D7C"/>
    <w:rsid w:val="009C79EE"/>
    <w:rsid w:val="009D1341"/>
    <w:rsid w:val="009E1436"/>
    <w:rsid w:val="009E349A"/>
    <w:rsid w:val="009F34FA"/>
    <w:rsid w:val="00A16480"/>
    <w:rsid w:val="00A22D65"/>
    <w:rsid w:val="00A37DA2"/>
    <w:rsid w:val="00A40B35"/>
    <w:rsid w:val="00A42BFB"/>
    <w:rsid w:val="00A70970"/>
    <w:rsid w:val="00A76B5C"/>
    <w:rsid w:val="00A77EDD"/>
    <w:rsid w:val="00A81AA2"/>
    <w:rsid w:val="00A846B8"/>
    <w:rsid w:val="00A8554D"/>
    <w:rsid w:val="00A85D60"/>
    <w:rsid w:val="00A87C76"/>
    <w:rsid w:val="00A97CFD"/>
    <w:rsid w:val="00AB0E80"/>
    <w:rsid w:val="00AB11DB"/>
    <w:rsid w:val="00AC5226"/>
    <w:rsid w:val="00AD0D4C"/>
    <w:rsid w:val="00AD415F"/>
    <w:rsid w:val="00AF083F"/>
    <w:rsid w:val="00AF0FB8"/>
    <w:rsid w:val="00AF5B55"/>
    <w:rsid w:val="00AF679F"/>
    <w:rsid w:val="00B22FAF"/>
    <w:rsid w:val="00B275A9"/>
    <w:rsid w:val="00B353FB"/>
    <w:rsid w:val="00B4086B"/>
    <w:rsid w:val="00B43649"/>
    <w:rsid w:val="00B45E0A"/>
    <w:rsid w:val="00B527C1"/>
    <w:rsid w:val="00B65252"/>
    <w:rsid w:val="00B70F77"/>
    <w:rsid w:val="00B72354"/>
    <w:rsid w:val="00B75456"/>
    <w:rsid w:val="00B76FF5"/>
    <w:rsid w:val="00B923BF"/>
    <w:rsid w:val="00B95D40"/>
    <w:rsid w:val="00BB755F"/>
    <w:rsid w:val="00BF68BC"/>
    <w:rsid w:val="00C01EDE"/>
    <w:rsid w:val="00C100BE"/>
    <w:rsid w:val="00C11FE9"/>
    <w:rsid w:val="00C12DA2"/>
    <w:rsid w:val="00C136CE"/>
    <w:rsid w:val="00C21B49"/>
    <w:rsid w:val="00C253B7"/>
    <w:rsid w:val="00C26ABC"/>
    <w:rsid w:val="00C30F34"/>
    <w:rsid w:val="00C34534"/>
    <w:rsid w:val="00C36143"/>
    <w:rsid w:val="00C4006C"/>
    <w:rsid w:val="00C44F48"/>
    <w:rsid w:val="00C5352E"/>
    <w:rsid w:val="00C560EA"/>
    <w:rsid w:val="00C57270"/>
    <w:rsid w:val="00C63091"/>
    <w:rsid w:val="00C72453"/>
    <w:rsid w:val="00C80543"/>
    <w:rsid w:val="00C8102A"/>
    <w:rsid w:val="00C82B12"/>
    <w:rsid w:val="00C91565"/>
    <w:rsid w:val="00C95978"/>
    <w:rsid w:val="00CA6A9A"/>
    <w:rsid w:val="00CB058B"/>
    <w:rsid w:val="00CB79C1"/>
    <w:rsid w:val="00CC48B3"/>
    <w:rsid w:val="00CC54E6"/>
    <w:rsid w:val="00CE0AF5"/>
    <w:rsid w:val="00CE3164"/>
    <w:rsid w:val="00CF70D8"/>
    <w:rsid w:val="00D01E04"/>
    <w:rsid w:val="00D06F29"/>
    <w:rsid w:val="00D15186"/>
    <w:rsid w:val="00D3388C"/>
    <w:rsid w:val="00D36C88"/>
    <w:rsid w:val="00D43C14"/>
    <w:rsid w:val="00D43F37"/>
    <w:rsid w:val="00D552A5"/>
    <w:rsid w:val="00D6579D"/>
    <w:rsid w:val="00D743E3"/>
    <w:rsid w:val="00D77620"/>
    <w:rsid w:val="00D836B3"/>
    <w:rsid w:val="00D93807"/>
    <w:rsid w:val="00D952D1"/>
    <w:rsid w:val="00D970A5"/>
    <w:rsid w:val="00DB456C"/>
    <w:rsid w:val="00DB4570"/>
    <w:rsid w:val="00DB4A98"/>
    <w:rsid w:val="00DB657D"/>
    <w:rsid w:val="00DC54B4"/>
    <w:rsid w:val="00DD3F0D"/>
    <w:rsid w:val="00DE24ED"/>
    <w:rsid w:val="00DE67D2"/>
    <w:rsid w:val="00DF4C2E"/>
    <w:rsid w:val="00DF6668"/>
    <w:rsid w:val="00E13F30"/>
    <w:rsid w:val="00E15A85"/>
    <w:rsid w:val="00E15F4C"/>
    <w:rsid w:val="00E16F3F"/>
    <w:rsid w:val="00E304BC"/>
    <w:rsid w:val="00E50680"/>
    <w:rsid w:val="00E6506B"/>
    <w:rsid w:val="00E65CD6"/>
    <w:rsid w:val="00E66D66"/>
    <w:rsid w:val="00E767C3"/>
    <w:rsid w:val="00E770B4"/>
    <w:rsid w:val="00E775D2"/>
    <w:rsid w:val="00EA0AE4"/>
    <w:rsid w:val="00EB5954"/>
    <w:rsid w:val="00ED2D51"/>
    <w:rsid w:val="00ED3AA0"/>
    <w:rsid w:val="00EE3156"/>
    <w:rsid w:val="00EF1F5C"/>
    <w:rsid w:val="00EF7B43"/>
    <w:rsid w:val="00F00808"/>
    <w:rsid w:val="00F276D3"/>
    <w:rsid w:val="00F4092D"/>
    <w:rsid w:val="00F508FC"/>
    <w:rsid w:val="00F60F8D"/>
    <w:rsid w:val="00F66357"/>
    <w:rsid w:val="00F66FDE"/>
    <w:rsid w:val="00F83213"/>
    <w:rsid w:val="00F855AF"/>
    <w:rsid w:val="00F90279"/>
    <w:rsid w:val="00F90973"/>
    <w:rsid w:val="00F940EF"/>
    <w:rsid w:val="00F94AF2"/>
    <w:rsid w:val="00F94E43"/>
    <w:rsid w:val="00F95692"/>
    <w:rsid w:val="00FB000F"/>
    <w:rsid w:val="00FB3112"/>
    <w:rsid w:val="00FB505E"/>
    <w:rsid w:val="00FD2F89"/>
    <w:rsid w:val="00FD351A"/>
    <w:rsid w:val="00FD6DB8"/>
    <w:rsid w:val="00FE6BBF"/>
    <w:rsid w:val="00FF04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04DE"/>
  <w15:docId w15:val="{0E783112-7047-4EDA-8F80-072DBC84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79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902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0279"/>
  </w:style>
  <w:style w:type="paragraph" w:styleId="AltBilgi">
    <w:name w:val="footer"/>
    <w:basedOn w:val="Normal"/>
    <w:link w:val="AltBilgiChar"/>
    <w:uiPriority w:val="99"/>
    <w:unhideWhenUsed/>
    <w:rsid w:val="00F902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683">
      <w:bodyDiv w:val="1"/>
      <w:marLeft w:val="0"/>
      <w:marRight w:val="0"/>
      <w:marTop w:val="0"/>
      <w:marBottom w:val="0"/>
      <w:divBdr>
        <w:top w:val="none" w:sz="0" w:space="0" w:color="auto"/>
        <w:left w:val="none" w:sz="0" w:space="0" w:color="auto"/>
        <w:bottom w:val="none" w:sz="0" w:space="0" w:color="auto"/>
        <w:right w:val="none" w:sz="0" w:space="0" w:color="auto"/>
      </w:divBdr>
    </w:div>
    <w:div w:id="137041753">
      <w:bodyDiv w:val="1"/>
      <w:marLeft w:val="0"/>
      <w:marRight w:val="0"/>
      <w:marTop w:val="0"/>
      <w:marBottom w:val="0"/>
      <w:divBdr>
        <w:top w:val="none" w:sz="0" w:space="0" w:color="auto"/>
        <w:left w:val="none" w:sz="0" w:space="0" w:color="auto"/>
        <w:bottom w:val="none" w:sz="0" w:space="0" w:color="auto"/>
        <w:right w:val="none" w:sz="0" w:space="0" w:color="auto"/>
      </w:divBdr>
    </w:div>
    <w:div w:id="615260967">
      <w:bodyDiv w:val="1"/>
      <w:marLeft w:val="0"/>
      <w:marRight w:val="0"/>
      <w:marTop w:val="0"/>
      <w:marBottom w:val="0"/>
      <w:divBdr>
        <w:top w:val="none" w:sz="0" w:space="0" w:color="auto"/>
        <w:left w:val="none" w:sz="0" w:space="0" w:color="auto"/>
        <w:bottom w:val="none" w:sz="0" w:space="0" w:color="auto"/>
        <w:right w:val="none" w:sz="0" w:space="0" w:color="auto"/>
      </w:divBdr>
    </w:div>
    <w:div w:id="678234893">
      <w:bodyDiv w:val="1"/>
      <w:marLeft w:val="0"/>
      <w:marRight w:val="0"/>
      <w:marTop w:val="0"/>
      <w:marBottom w:val="0"/>
      <w:divBdr>
        <w:top w:val="none" w:sz="0" w:space="0" w:color="auto"/>
        <w:left w:val="none" w:sz="0" w:space="0" w:color="auto"/>
        <w:bottom w:val="none" w:sz="0" w:space="0" w:color="auto"/>
        <w:right w:val="none" w:sz="0" w:space="0" w:color="auto"/>
      </w:divBdr>
    </w:div>
    <w:div w:id="686567117">
      <w:bodyDiv w:val="1"/>
      <w:marLeft w:val="0"/>
      <w:marRight w:val="0"/>
      <w:marTop w:val="0"/>
      <w:marBottom w:val="0"/>
      <w:divBdr>
        <w:top w:val="none" w:sz="0" w:space="0" w:color="auto"/>
        <w:left w:val="none" w:sz="0" w:space="0" w:color="auto"/>
        <w:bottom w:val="none" w:sz="0" w:space="0" w:color="auto"/>
        <w:right w:val="none" w:sz="0" w:space="0" w:color="auto"/>
      </w:divBdr>
    </w:div>
    <w:div w:id="858083797">
      <w:bodyDiv w:val="1"/>
      <w:marLeft w:val="0"/>
      <w:marRight w:val="0"/>
      <w:marTop w:val="0"/>
      <w:marBottom w:val="0"/>
      <w:divBdr>
        <w:top w:val="none" w:sz="0" w:space="0" w:color="auto"/>
        <w:left w:val="none" w:sz="0" w:space="0" w:color="auto"/>
        <w:bottom w:val="none" w:sz="0" w:space="0" w:color="auto"/>
        <w:right w:val="none" w:sz="0" w:space="0" w:color="auto"/>
      </w:divBdr>
    </w:div>
    <w:div w:id="1096943387">
      <w:bodyDiv w:val="1"/>
      <w:marLeft w:val="0"/>
      <w:marRight w:val="0"/>
      <w:marTop w:val="0"/>
      <w:marBottom w:val="0"/>
      <w:divBdr>
        <w:top w:val="none" w:sz="0" w:space="0" w:color="auto"/>
        <w:left w:val="none" w:sz="0" w:space="0" w:color="auto"/>
        <w:bottom w:val="none" w:sz="0" w:space="0" w:color="auto"/>
        <w:right w:val="none" w:sz="0" w:space="0" w:color="auto"/>
      </w:divBdr>
    </w:div>
    <w:div w:id="1187645059">
      <w:bodyDiv w:val="1"/>
      <w:marLeft w:val="0"/>
      <w:marRight w:val="0"/>
      <w:marTop w:val="0"/>
      <w:marBottom w:val="0"/>
      <w:divBdr>
        <w:top w:val="none" w:sz="0" w:space="0" w:color="auto"/>
        <w:left w:val="none" w:sz="0" w:space="0" w:color="auto"/>
        <w:bottom w:val="none" w:sz="0" w:space="0" w:color="auto"/>
        <w:right w:val="none" w:sz="0" w:space="0" w:color="auto"/>
      </w:divBdr>
    </w:div>
    <w:div w:id="1223831700">
      <w:bodyDiv w:val="1"/>
      <w:marLeft w:val="0"/>
      <w:marRight w:val="0"/>
      <w:marTop w:val="0"/>
      <w:marBottom w:val="0"/>
      <w:divBdr>
        <w:top w:val="none" w:sz="0" w:space="0" w:color="auto"/>
        <w:left w:val="none" w:sz="0" w:space="0" w:color="auto"/>
        <w:bottom w:val="none" w:sz="0" w:space="0" w:color="auto"/>
        <w:right w:val="none" w:sz="0" w:space="0" w:color="auto"/>
      </w:divBdr>
    </w:div>
    <w:div w:id="1323050591">
      <w:bodyDiv w:val="1"/>
      <w:marLeft w:val="0"/>
      <w:marRight w:val="0"/>
      <w:marTop w:val="0"/>
      <w:marBottom w:val="0"/>
      <w:divBdr>
        <w:top w:val="none" w:sz="0" w:space="0" w:color="auto"/>
        <w:left w:val="none" w:sz="0" w:space="0" w:color="auto"/>
        <w:bottom w:val="none" w:sz="0" w:space="0" w:color="auto"/>
        <w:right w:val="none" w:sz="0" w:space="0" w:color="auto"/>
      </w:divBdr>
    </w:div>
    <w:div w:id="1426727392">
      <w:bodyDiv w:val="1"/>
      <w:marLeft w:val="0"/>
      <w:marRight w:val="0"/>
      <w:marTop w:val="0"/>
      <w:marBottom w:val="0"/>
      <w:divBdr>
        <w:top w:val="none" w:sz="0" w:space="0" w:color="auto"/>
        <w:left w:val="none" w:sz="0" w:space="0" w:color="auto"/>
        <w:bottom w:val="none" w:sz="0" w:space="0" w:color="auto"/>
        <w:right w:val="none" w:sz="0" w:space="0" w:color="auto"/>
      </w:divBdr>
    </w:div>
    <w:div w:id="1519468979">
      <w:bodyDiv w:val="1"/>
      <w:marLeft w:val="0"/>
      <w:marRight w:val="0"/>
      <w:marTop w:val="0"/>
      <w:marBottom w:val="0"/>
      <w:divBdr>
        <w:top w:val="none" w:sz="0" w:space="0" w:color="auto"/>
        <w:left w:val="none" w:sz="0" w:space="0" w:color="auto"/>
        <w:bottom w:val="none" w:sz="0" w:space="0" w:color="auto"/>
        <w:right w:val="none" w:sz="0" w:space="0" w:color="auto"/>
      </w:divBdr>
    </w:div>
    <w:div w:id="1640840228">
      <w:bodyDiv w:val="1"/>
      <w:marLeft w:val="0"/>
      <w:marRight w:val="0"/>
      <w:marTop w:val="0"/>
      <w:marBottom w:val="0"/>
      <w:divBdr>
        <w:top w:val="none" w:sz="0" w:space="0" w:color="auto"/>
        <w:left w:val="none" w:sz="0" w:space="0" w:color="auto"/>
        <w:bottom w:val="none" w:sz="0" w:space="0" w:color="auto"/>
        <w:right w:val="none" w:sz="0" w:space="0" w:color="auto"/>
      </w:divBdr>
    </w:div>
    <w:div w:id="1681084149">
      <w:bodyDiv w:val="1"/>
      <w:marLeft w:val="0"/>
      <w:marRight w:val="0"/>
      <w:marTop w:val="0"/>
      <w:marBottom w:val="0"/>
      <w:divBdr>
        <w:top w:val="none" w:sz="0" w:space="0" w:color="auto"/>
        <w:left w:val="none" w:sz="0" w:space="0" w:color="auto"/>
        <w:bottom w:val="none" w:sz="0" w:space="0" w:color="auto"/>
        <w:right w:val="none" w:sz="0" w:space="0" w:color="auto"/>
      </w:divBdr>
    </w:div>
    <w:div w:id="190803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21" Type="http://schemas.openxmlformats.org/officeDocument/2006/relationships/chart" Target="charts/chart16.xml"/><Relationship Id="rId34" Type="http://schemas.openxmlformats.org/officeDocument/2006/relationships/header" Target="header3.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fontTable" Target="fontTable.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3.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6(%18)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1-A68C-4EBA-893D-FF38573F420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9A54070-A4A2-4F9D-A4E2-F20D92B4D89E}"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3-A68C-4EBA-893D-FF38573F420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F3047D7-BA4E-4E58-B8AE-C9F911204B96}"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10</c:v>
                </c:pt>
              </c:numCache>
            </c:numRef>
          </c:val>
          <c:extLst>
            <c:ext xmlns:c16="http://schemas.microsoft.com/office/drawing/2014/chart" uri="{C3380CC4-5D6E-409C-BE32-E72D297353CC}">
              <c16:uniqueId val="{00000005-A68C-4EBA-893D-FF38573F420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6873540-3696-4E6B-BABD-AD36842D1DD5}"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7-A68C-4EBA-893D-FF38573F420E}"/>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2561F699-22A2-4D80-9FC0-33D704EF3B9D}"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A68C-4EBA-893D-FF38573F420E}"/>
            </c:ext>
          </c:extLst>
        </c:ser>
        <c:dLbls>
          <c:showLegendKey val="0"/>
          <c:showVal val="0"/>
          <c:showCatName val="0"/>
          <c:showSerName val="0"/>
          <c:showPercent val="0"/>
          <c:showBubbleSize val="0"/>
        </c:dLbls>
        <c:gapWidth val="219"/>
        <c:overlap val="-27"/>
        <c:axId val="494969472"/>
        <c:axId val="112512112"/>
      </c:barChart>
      <c:catAx>
        <c:axId val="494969472"/>
        <c:scaling>
          <c:orientation val="minMax"/>
        </c:scaling>
        <c:delete val="1"/>
        <c:axPos val="b"/>
        <c:numFmt formatCode="General" sourceLinked="1"/>
        <c:majorTickMark val="none"/>
        <c:minorTickMark val="none"/>
        <c:tickLblPos val="nextTo"/>
        <c:crossAx val="112512112"/>
        <c:crosses val="autoZero"/>
        <c:auto val="1"/>
        <c:lblAlgn val="ctr"/>
        <c:lblOffset val="100"/>
        <c:noMultiLvlLbl val="0"/>
      </c:catAx>
      <c:valAx>
        <c:axId val="112512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496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83D83C3-66CF-41C6-9433-5A72D321D654}"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864-4F34-9D15-30B5F822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3864-4F34-9D15-30B5F82224E3}"/>
            </c:ext>
          </c:extLst>
        </c:ser>
        <c:ser>
          <c:idx val="1"/>
          <c:order val="1"/>
          <c:tx>
            <c:strRef>
              <c:f>Sayfa1!$C$1</c:f>
              <c:strCache>
                <c:ptCount val="1"/>
                <c:pt idx="0">
                  <c:v>Katılmıyorum</c:v>
                </c:pt>
              </c:strCache>
            </c:strRef>
          </c:tx>
          <c:spPr>
            <a:solidFill>
              <a:schemeClr val="accent2"/>
            </a:solidFill>
            <a:ln>
              <a:noFill/>
            </a:ln>
            <a:effectLst/>
          </c:spPr>
          <c:invertIfNegative val="0"/>
          <c:cat>
            <c:strRef>
              <c:f>Sayfa1!$A$2</c:f>
              <c:strCache>
                <c:ptCount val="1"/>
                <c:pt idx="0">
                  <c:v>Kategori 1</c:v>
                </c:pt>
              </c:strCache>
            </c:strRef>
          </c:cat>
          <c:val>
            <c:numRef>
              <c:f>Sayfa1!$C$2</c:f>
              <c:numCache>
                <c:formatCode>General</c:formatCode>
                <c:ptCount val="1"/>
              </c:numCache>
            </c:numRef>
          </c:val>
          <c:extLst>
            <c:ext xmlns:c16="http://schemas.microsoft.com/office/drawing/2014/chart" uri="{C3380CC4-5D6E-409C-BE32-E72D297353CC}">
              <c16:uniqueId val="{00000002-3864-4F34-9D15-30B5F82224E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A7C6C2C-0626-4469-9A48-3C77DC69DF76}"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864-4F34-9D15-30B5F822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10</c:v>
                </c:pt>
              </c:numCache>
            </c:numRef>
          </c:val>
          <c:extLst>
            <c:ext xmlns:c16="http://schemas.microsoft.com/office/drawing/2014/chart" uri="{C3380CC4-5D6E-409C-BE32-E72D297353CC}">
              <c16:uniqueId val="{00000004-3864-4F34-9D15-30B5F82224E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AFD406F-B9F9-4DC5-BF9A-9224788D0613}"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864-4F34-9D15-30B5F822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11</c:v>
                </c:pt>
              </c:numCache>
            </c:numRef>
          </c:val>
          <c:extLst>
            <c:ext xmlns:c16="http://schemas.microsoft.com/office/drawing/2014/chart" uri="{C3380CC4-5D6E-409C-BE32-E72D297353CC}">
              <c16:uniqueId val="{00000006-3864-4F34-9D15-30B5F82224E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D97AAF7-E5C4-42E6-9AF7-D97148923671}"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864-4F34-9D15-30B5F822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8-3864-4F34-9D15-30B5F82224E3}"/>
            </c:ext>
          </c:extLst>
        </c:ser>
        <c:dLbls>
          <c:showLegendKey val="0"/>
          <c:showVal val="0"/>
          <c:showCatName val="0"/>
          <c:showSerName val="0"/>
          <c:showPercent val="0"/>
          <c:showBubbleSize val="0"/>
        </c:dLbls>
        <c:gapWidth val="219"/>
        <c:overlap val="-27"/>
        <c:axId val="583721072"/>
        <c:axId val="583724432"/>
      </c:barChart>
      <c:catAx>
        <c:axId val="583721072"/>
        <c:scaling>
          <c:orientation val="minMax"/>
        </c:scaling>
        <c:delete val="1"/>
        <c:axPos val="b"/>
        <c:numFmt formatCode="General" sourceLinked="1"/>
        <c:majorTickMark val="none"/>
        <c:minorTickMark val="none"/>
        <c:tickLblPos val="nextTo"/>
        <c:crossAx val="583724432"/>
        <c:crosses val="autoZero"/>
        <c:auto val="1"/>
        <c:lblAlgn val="ctr"/>
        <c:lblOffset val="100"/>
        <c:noMultiLvlLbl val="0"/>
      </c:catAx>
      <c:valAx>
        <c:axId val="58372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8372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0-6F91-41E9-844A-03993F289598}"/>
            </c:ext>
          </c:extLst>
        </c:ser>
        <c:ser>
          <c:idx val="1"/>
          <c:order val="1"/>
          <c:tx>
            <c:strRef>
              <c:f>Sayfa1!$C$1</c:f>
              <c:strCache>
                <c:ptCount val="1"/>
                <c:pt idx="0">
                  <c:v>Katılmıyorum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numCache>
            </c:numRef>
          </c:val>
          <c:extLst>
            <c:ext xmlns:c16="http://schemas.microsoft.com/office/drawing/2014/chart" uri="{C3380CC4-5D6E-409C-BE32-E72D297353CC}">
              <c16:uniqueId val="{00000001-6F91-41E9-844A-03993F28959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D509F30C-4C47-4D88-B152-88E2C03082A0}" type="VALUE">
                      <a:rPr lang="en-US"/>
                      <a:pPr/>
                      <a:t>[DEĞER]</a:t>
                    </a:fld>
                    <a:r>
                      <a:rPr lang="en-US"/>
                      <a:t>(%36)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F91-41E9-844A-03993F2895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12</c:v>
                </c:pt>
              </c:numCache>
            </c:numRef>
          </c:val>
          <c:extLst>
            <c:ext xmlns:c16="http://schemas.microsoft.com/office/drawing/2014/chart" uri="{C3380CC4-5D6E-409C-BE32-E72D297353CC}">
              <c16:uniqueId val="{00000003-6F91-41E9-844A-03993F28959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664C9C74-8171-42AB-A716-36340E5ED972}"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91-41E9-844A-03993F2895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5-6F91-41E9-844A-03993F28959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D8B44F7B-B75E-4D5F-A2BF-D3A74173FA40}" type="VALUE">
                      <a:rPr lang="en-US"/>
                      <a:pPr/>
                      <a:t>[DEĞER]</a:t>
                    </a:fld>
                    <a:r>
                      <a:rPr lang="en-US"/>
                      <a:t>(%46)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F91-41E9-844A-03993F2895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15</c:v>
                </c:pt>
              </c:numCache>
            </c:numRef>
          </c:val>
          <c:extLst>
            <c:ext xmlns:c16="http://schemas.microsoft.com/office/drawing/2014/chart" uri="{C3380CC4-5D6E-409C-BE32-E72D297353CC}">
              <c16:uniqueId val="{00000007-6F91-41E9-844A-03993F289598}"/>
            </c:ext>
          </c:extLst>
        </c:ser>
        <c:dLbls>
          <c:showLegendKey val="0"/>
          <c:showVal val="0"/>
          <c:showCatName val="0"/>
          <c:showSerName val="0"/>
          <c:showPercent val="0"/>
          <c:showBubbleSize val="0"/>
        </c:dLbls>
        <c:gapWidth val="219"/>
        <c:overlap val="-27"/>
        <c:axId val="683044080"/>
        <c:axId val="1083552832"/>
      </c:barChart>
      <c:catAx>
        <c:axId val="683044080"/>
        <c:scaling>
          <c:orientation val="minMax"/>
        </c:scaling>
        <c:delete val="1"/>
        <c:axPos val="b"/>
        <c:numFmt formatCode="General" sourceLinked="1"/>
        <c:majorTickMark val="none"/>
        <c:minorTickMark val="none"/>
        <c:tickLblPos val="nextTo"/>
        <c:crossAx val="1083552832"/>
        <c:crosses val="autoZero"/>
        <c:auto val="1"/>
        <c:lblAlgn val="ctr"/>
        <c:lblOffset val="100"/>
        <c:noMultiLvlLbl val="0"/>
      </c:catAx>
      <c:valAx>
        <c:axId val="108355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4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87BDFE8-43A4-4581-89CD-F568274BCAF3}"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59B1-4CA8-B48A-4BF5E009B7D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36DB120-9ED2-42DB-9D4D-10813431C1E5}"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3-59B1-4CA8-B48A-4BF5E009B7D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12(%36)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12</c:v>
                </c:pt>
              </c:numCache>
            </c:numRef>
          </c:val>
          <c:extLst>
            <c:ext xmlns:c16="http://schemas.microsoft.com/office/drawing/2014/chart" uri="{C3380CC4-5D6E-409C-BE32-E72D297353CC}">
              <c16:uniqueId val="{00000005-59B1-4CA8-B48A-4BF5E009B7D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D3F7311-FAB3-4642-B9B6-8E67F8728723}"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7-59B1-4CA8-B48A-4BF5E009B7D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DB72EB6-58F5-4304-B718-54DAB7ABF5AB}"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9</c:v>
                </c:pt>
              </c:numCache>
            </c:numRef>
          </c:val>
          <c:extLst>
            <c:ext xmlns:c16="http://schemas.microsoft.com/office/drawing/2014/chart" uri="{C3380CC4-5D6E-409C-BE32-E72D297353CC}">
              <c16:uniqueId val="{00000009-59B1-4CA8-B48A-4BF5E009B7DE}"/>
            </c:ext>
          </c:extLst>
        </c:ser>
        <c:dLbls>
          <c:showLegendKey val="0"/>
          <c:showVal val="0"/>
          <c:showCatName val="0"/>
          <c:showSerName val="0"/>
          <c:showPercent val="0"/>
          <c:showBubbleSize val="0"/>
        </c:dLbls>
        <c:gapWidth val="219"/>
        <c:overlap val="-27"/>
        <c:axId val="683053680"/>
        <c:axId val="1094083104"/>
      </c:barChart>
      <c:catAx>
        <c:axId val="683053680"/>
        <c:scaling>
          <c:orientation val="minMax"/>
        </c:scaling>
        <c:delete val="1"/>
        <c:axPos val="b"/>
        <c:numFmt formatCode="General" sourceLinked="1"/>
        <c:majorTickMark val="none"/>
        <c:minorTickMark val="none"/>
        <c:tickLblPos val="nextTo"/>
        <c:crossAx val="1094083104"/>
        <c:crosses val="autoZero"/>
        <c:auto val="1"/>
        <c:lblAlgn val="ctr"/>
        <c:lblOffset val="100"/>
        <c:noMultiLvlLbl val="0"/>
      </c:catAx>
      <c:valAx>
        <c:axId val="109408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5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C72B7C7-1224-449D-B629-EE178578F3DE}"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3</c:v>
                </c:pt>
              </c:numCache>
            </c:numRef>
          </c:val>
          <c:extLst>
            <c:ext xmlns:c16="http://schemas.microsoft.com/office/drawing/2014/chart" uri="{C3380CC4-5D6E-409C-BE32-E72D297353CC}">
              <c16:uniqueId val="{00000001-53B3-424A-9920-8E3DF4E114A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9DAF348-236F-4EFF-99F9-AC0074DCC3B2}"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3</c:v>
                </c:pt>
              </c:numCache>
            </c:numRef>
          </c:val>
          <c:extLst>
            <c:ext xmlns:c16="http://schemas.microsoft.com/office/drawing/2014/chart" uri="{C3380CC4-5D6E-409C-BE32-E72D297353CC}">
              <c16:uniqueId val="{00000003-53B3-424A-9920-8E3DF4E114A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10725D9-934A-4ACD-B7B3-79D2AB60D950}"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10</c:v>
                </c:pt>
              </c:numCache>
            </c:numRef>
          </c:val>
          <c:extLst>
            <c:ext xmlns:c16="http://schemas.microsoft.com/office/drawing/2014/chart" uri="{C3380CC4-5D6E-409C-BE32-E72D297353CC}">
              <c16:uniqueId val="{00000005-53B3-424A-9920-8E3DF4E114A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49C9DF9-1CDC-4E78-912F-155FC8922EA9}"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9</c:v>
                </c:pt>
              </c:numCache>
            </c:numRef>
          </c:val>
          <c:extLst>
            <c:ext xmlns:c16="http://schemas.microsoft.com/office/drawing/2014/chart" uri="{C3380CC4-5D6E-409C-BE32-E72D297353CC}">
              <c16:uniqueId val="{00000007-53B3-424A-9920-8E3DF4E114A7}"/>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44231FF-846A-42CE-87CF-170FA49BB51D}"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8</c:v>
                </c:pt>
              </c:numCache>
            </c:numRef>
          </c:val>
          <c:extLst>
            <c:ext xmlns:c16="http://schemas.microsoft.com/office/drawing/2014/chart" uri="{C3380CC4-5D6E-409C-BE32-E72D297353CC}">
              <c16:uniqueId val="{00000009-53B3-424A-9920-8E3DF4E114A7}"/>
            </c:ext>
          </c:extLst>
        </c:ser>
        <c:dLbls>
          <c:showLegendKey val="0"/>
          <c:showVal val="0"/>
          <c:showCatName val="0"/>
          <c:showSerName val="0"/>
          <c:showPercent val="0"/>
          <c:showBubbleSize val="0"/>
        </c:dLbls>
        <c:gapWidth val="219"/>
        <c:overlap val="-27"/>
        <c:axId val="683045520"/>
        <c:axId val="1148032720"/>
      </c:barChart>
      <c:catAx>
        <c:axId val="68304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48032720"/>
        <c:crosses val="autoZero"/>
        <c:auto val="1"/>
        <c:lblAlgn val="ctr"/>
        <c:lblOffset val="100"/>
        <c:noMultiLvlLbl val="0"/>
      </c:catAx>
      <c:valAx>
        <c:axId val="114803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4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2D4D3DFB-3443-430B-B88A-21A9085F2C24}"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2</c:v>
                </c:pt>
              </c:numCache>
            </c:numRef>
          </c:val>
          <c:extLst>
            <c:ext xmlns:c16="http://schemas.microsoft.com/office/drawing/2014/chart" uri="{C3380CC4-5D6E-409C-BE32-E72D297353CC}">
              <c16:uniqueId val="{00000001-FFEF-4FE6-80B6-70EED7B75B0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E36B20A-B9B6-45BD-8EDC-80EFD76688F3}"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7</c:v>
                </c:pt>
              </c:numCache>
            </c:numRef>
          </c:val>
          <c:extLst>
            <c:ext xmlns:c16="http://schemas.microsoft.com/office/drawing/2014/chart" uri="{C3380CC4-5D6E-409C-BE32-E72D297353CC}">
              <c16:uniqueId val="{00000003-FFEF-4FE6-80B6-70EED7B75B0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A51E90D-609C-4B41-9FC8-A216D8A50C24}"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13</c:v>
                </c:pt>
              </c:numCache>
            </c:numRef>
          </c:val>
          <c:extLst>
            <c:ext xmlns:c16="http://schemas.microsoft.com/office/drawing/2014/chart" uri="{C3380CC4-5D6E-409C-BE32-E72D297353CC}">
              <c16:uniqueId val="{00000005-FFEF-4FE6-80B6-70EED7B75B0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77523F1-C890-461C-A12A-1EE8AEB38DDA}"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5</c:v>
                </c:pt>
              </c:numCache>
            </c:numRef>
          </c:val>
          <c:extLst>
            <c:ext xmlns:c16="http://schemas.microsoft.com/office/drawing/2014/chart" uri="{C3380CC4-5D6E-409C-BE32-E72D297353CC}">
              <c16:uniqueId val="{00000007-FFEF-4FE6-80B6-70EED7B75B0B}"/>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D046C38-205B-4F0B-82AF-13DFD050D25E}"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6</c:v>
                </c:pt>
              </c:numCache>
            </c:numRef>
          </c:val>
          <c:extLst>
            <c:ext xmlns:c16="http://schemas.microsoft.com/office/drawing/2014/chart" uri="{C3380CC4-5D6E-409C-BE32-E72D297353CC}">
              <c16:uniqueId val="{00000009-FFEF-4FE6-80B6-70EED7B75B0B}"/>
            </c:ext>
          </c:extLst>
        </c:ser>
        <c:dLbls>
          <c:showLegendKey val="0"/>
          <c:showVal val="0"/>
          <c:showCatName val="0"/>
          <c:showSerName val="0"/>
          <c:showPercent val="0"/>
          <c:showBubbleSize val="0"/>
        </c:dLbls>
        <c:gapWidth val="219"/>
        <c:overlap val="-27"/>
        <c:axId val="683034480"/>
        <c:axId val="672929440"/>
      </c:barChart>
      <c:catAx>
        <c:axId val="683034480"/>
        <c:scaling>
          <c:orientation val="minMax"/>
        </c:scaling>
        <c:delete val="1"/>
        <c:axPos val="b"/>
        <c:numFmt formatCode="General" sourceLinked="1"/>
        <c:majorTickMark val="none"/>
        <c:minorTickMark val="none"/>
        <c:tickLblPos val="nextTo"/>
        <c:crossAx val="672929440"/>
        <c:crosses val="autoZero"/>
        <c:auto val="1"/>
        <c:lblAlgn val="ctr"/>
        <c:lblOffset val="100"/>
        <c:noMultiLvlLbl val="0"/>
      </c:catAx>
      <c:valAx>
        <c:axId val="67292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3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2D4E01F2-5F88-449B-8BDD-3B8620A81715}"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7</c:v>
                </c:pt>
              </c:numCache>
            </c:numRef>
          </c:val>
          <c:extLst>
            <c:ext xmlns:c16="http://schemas.microsoft.com/office/drawing/2014/chart" uri="{C3380CC4-5D6E-409C-BE32-E72D297353CC}">
              <c16:uniqueId val="{00000001-3C03-4E85-A120-19A7134015CA}"/>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DE91D13C-596B-444B-BDC4-15C8D004B1A5}"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3-3C03-4E85-A120-19A7134015CA}"/>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7(%21)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5-3C03-4E85-A120-19A7134015CA}"/>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E8C75E5-6A88-49C7-8C87-406E2ACB6F47}"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3C03-4E85-A120-19A7134015CA}"/>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4FCAAED-3EB1-49BD-BB73-140544A5882C}"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9-3C03-4E85-A120-19A7134015CA}"/>
            </c:ext>
          </c:extLst>
        </c:ser>
        <c:dLbls>
          <c:showLegendKey val="0"/>
          <c:showVal val="0"/>
          <c:showCatName val="0"/>
          <c:showSerName val="0"/>
          <c:showPercent val="0"/>
          <c:showBubbleSize val="0"/>
        </c:dLbls>
        <c:gapWidth val="219"/>
        <c:overlap val="-27"/>
        <c:axId val="1178357263"/>
        <c:axId val="1093286656"/>
      </c:barChart>
      <c:catAx>
        <c:axId val="1178357263"/>
        <c:scaling>
          <c:orientation val="minMax"/>
        </c:scaling>
        <c:delete val="1"/>
        <c:axPos val="b"/>
        <c:numFmt formatCode="General" sourceLinked="1"/>
        <c:majorTickMark val="none"/>
        <c:minorTickMark val="none"/>
        <c:tickLblPos val="nextTo"/>
        <c:crossAx val="1093286656"/>
        <c:crosses val="autoZero"/>
        <c:auto val="1"/>
        <c:lblAlgn val="ctr"/>
        <c:lblOffset val="100"/>
        <c:noMultiLvlLbl val="0"/>
      </c:catAx>
      <c:valAx>
        <c:axId val="109328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57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6(%19)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7</c:v>
                </c:pt>
              </c:numCache>
            </c:numRef>
          </c:val>
          <c:extLst>
            <c:ext xmlns:c16="http://schemas.microsoft.com/office/drawing/2014/chart" uri="{C3380CC4-5D6E-409C-BE32-E72D297353CC}">
              <c16:uniqueId val="{00000001-8E1E-4636-AB11-E11853D9451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D2078C7-5A0E-40F7-98FB-3ADD124CCD77}"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numCache>
            </c:numRef>
          </c:val>
          <c:extLst>
            <c:ext xmlns:c16="http://schemas.microsoft.com/office/drawing/2014/chart" uri="{C3380CC4-5D6E-409C-BE32-E72D297353CC}">
              <c16:uniqueId val="{00000003-8E1E-4636-AB11-E11853D9451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2ABD653-B01F-493A-A168-CB7DEAE165AA}"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9</c:v>
                </c:pt>
              </c:numCache>
            </c:numRef>
          </c:val>
          <c:extLst>
            <c:ext xmlns:c16="http://schemas.microsoft.com/office/drawing/2014/chart" uri="{C3380CC4-5D6E-409C-BE32-E72D297353CC}">
              <c16:uniqueId val="{00000005-8E1E-4636-AB11-E11853D9451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C362B95-EDDC-4613-A7CC-2B5DF9190E38}"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8</c:v>
                </c:pt>
              </c:numCache>
            </c:numRef>
          </c:val>
          <c:extLst>
            <c:ext xmlns:c16="http://schemas.microsoft.com/office/drawing/2014/chart" uri="{C3380CC4-5D6E-409C-BE32-E72D297353CC}">
              <c16:uniqueId val="{00000007-8E1E-4636-AB11-E11853D9451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58351C8-193C-4F8F-801D-736EEE1BB1B9}"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10</c:v>
                </c:pt>
              </c:numCache>
            </c:numRef>
          </c:val>
          <c:extLst>
            <c:ext xmlns:c16="http://schemas.microsoft.com/office/drawing/2014/chart" uri="{C3380CC4-5D6E-409C-BE32-E72D297353CC}">
              <c16:uniqueId val="{00000009-8E1E-4636-AB11-E11853D94519}"/>
            </c:ext>
          </c:extLst>
        </c:ser>
        <c:dLbls>
          <c:showLegendKey val="0"/>
          <c:showVal val="0"/>
          <c:showCatName val="0"/>
          <c:showSerName val="0"/>
          <c:showPercent val="0"/>
          <c:showBubbleSize val="0"/>
        </c:dLbls>
        <c:gapWidth val="219"/>
        <c:overlap val="-27"/>
        <c:axId val="1178343343"/>
        <c:axId val="678635760"/>
      </c:barChart>
      <c:catAx>
        <c:axId val="1178343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635760"/>
        <c:crosses val="autoZero"/>
        <c:auto val="1"/>
        <c:lblAlgn val="ctr"/>
        <c:lblOffset val="100"/>
        <c:noMultiLvlLbl val="0"/>
      </c:catAx>
      <c:valAx>
        <c:axId val="67863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43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0E201EF-0329-4141-AB21-D30F5B95B1F6}"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5</c:v>
                </c:pt>
              </c:numCache>
            </c:numRef>
          </c:val>
          <c:extLst>
            <c:ext xmlns:c16="http://schemas.microsoft.com/office/drawing/2014/chart" uri="{C3380CC4-5D6E-409C-BE32-E72D297353CC}">
              <c16:uniqueId val="{00000001-5F0F-4D14-A1BB-D63EC06D261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2CC7A59-A0C8-40D8-A42D-3F5A70673FD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4</c:v>
                </c:pt>
              </c:numCache>
            </c:numRef>
          </c:val>
          <c:extLst>
            <c:ext xmlns:c16="http://schemas.microsoft.com/office/drawing/2014/chart" uri="{C3380CC4-5D6E-409C-BE32-E72D297353CC}">
              <c16:uniqueId val="{00000003-5F0F-4D14-A1BB-D63EC06D261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DAD8732-09D4-43B1-8803-3707BEBF1AC8}"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9</c:v>
                </c:pt>
              </c:numCache>
            </c:numRef>
          </c:val>
          <c:extLst>
            <c:ext xmlns:c16="http://schemas.microsoft.com/office/drawing/2014/chart" uri="{C3380CC4-5D6E-409C-BE32-E72D297353CC}">
              <c16:uniqueId val="{00000005-5F0F-4D14-A1BB-D63EC06D261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AF6954CC-8ECA-4E95-A76E-42902A7C8C16}"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10</c:v>
                </c:pt>
              </c:numCache>
            </c:numRef>
          </c:val>
          <c:extLst>
            <c:ext xmlns:c16="http://schemas.microsoft.com/office/drawing/2014/chart" uri="{C3380CC4-5D6E-409C-BE32-E72D297353CC}">
              <c16:uniqueId val="{00000007-5F0F-4D14-A1BB-D63EC06D2616}"/>
            </c:ext>
          </c:extLst>
        </c:ser>
        <c:ser>
          <c:idx val="4"/>
          <c:order val="4"/>
          <c:tx>
            <c:strRef>
              <c:f>Sayfa1!$F$1</c:f>
              <c:strCache>
                <c:ptCount val="1"/>
                <c:pt idx="0">
                  <c:v>Keinlikle Katılıyorum</c:v>
                </c:pt>
              </c:strCache>
            </c:strRef>
          </c:tx>
          <c:spPr>
            <a:solidFill>
              <a:schemeClr val="accent5"/>
            </a:solidFill>
            <a:ln>
              <a:noFill/>
            </a:ln>
            <a:effectLst/>
          </c:spPr>
          <c:invertIfNegative val="0"/>
          <c:dLbls>
            <c:dLbl>
              <c:idx val="0"/>
              <c:tx>
                <c:rich>
                  <a:bodyPr/>
                  <a:lstStyle/>
                  <a:p>
                    <a:fld id="{26552F23-8443-41F5-AA4D-366E282F39FB}"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5</c:v>
                </c:pt>
              </c:numCache>
            </c:numRef>
          </c:val>
          <c:extLst>
            <c:ext xmlns:c16="http://schemas.microsoft.com/office/drawing/2014/chart" uri="{C3380CC4-5D6E-409C-BE32-E72D297353CC}">
              <c16:uniqueId val="{00000009-5F0F-4D14-A1BB-D63EC06D2616}"/>
            </c:ext>
          </c:extLst>
        </c:ser>
        <c:dLbls>
          <c:showLegendKey val="0"/>
          <c:showVal val="0"/>
          <c:showCatName val="0"/>
          <c:showSerName val="0"/>
          <c:showPercent val="0"/>
          <c:showBubbleSize val="0"/>
        </c:dLbls>
        <c:gapWidth val="219"/>
        <c:overlap val="-27"/>
        <c:axId val="1110504688"/>
        <c:axId val="1438016591"/>
      </c:barChart>
      <c:catAx>
        <c:axId val="111050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38016591"/>
        <c:crosses val="autoZero"/>
        <c:auto val="1"/>
        <c:lblAlgn val="ctr"/>
        <c:lblOffset val="100"/>
        <c:noMultiLvlLbl val="0"/>
      </c:catAx>
      <c:valAx>
        <c:axId val="1438016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0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9CE267D8-5843-4D08-89B8-A0C57AB1667E}"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3617-4EFD-9E8C-0CA8818DF43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071A1D8-6423-4E33-A11E-39279DFC0EE6}"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3-3617-4EFD-9E8C-0CA8818DF43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5(%15)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5-3617-4EFD-9E8C-0CA8818DF43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F5586E1-3AF3-4CFD-B965-065446778E02}"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11</c:v>
                </c:pt>
              </c:numCache>
            </c:numRef>
          </c:val>
          <c:extLst>
            <c:ext xmlns:c16="http://schemas.microsoft.com/office/drawing/2014/chart" uri="{C3380CC4-5D6E-409C-BE32-E72D297353CC}">
              <c16:uniqueId val="{00000007-3617-4EFD-9E8C-0CA8818DF43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457F6988-46D3-444E-A771-BEA3B9376A14}"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9-3617-4EFD-9E8C-0CA8818DF43E}"/>
            </c:ext>
          </c:extLst>
        </c:ser>
        <c:dLbls>
          <c:showLegendKey val="0"/>
          <c:showVal val="0"/>
          <c:showCatName val="0"/>
          <c:showSerName val="0"/>
          <c:showPercent val="0"/>
          <c:showBubbleSize val="0"/>
        </c:dLbls>
        <c:gapWidth val="219"/>
        <c:overlap val="-27"/>
        <c:axId val="683037840"/>
        <c:axId val="1438012127"/>
      </c:barChart>
      <c:catAx>
        <c:axId val="683037840"/>
        <c:scaling>
          <c:orientation val="minMax"/>
        </c:scaling>
        <c:delete val="1"/>
        <c:axPos val="b"/>
        <c:numFmt formatCode="General" sourceLinked="1"/>
        <c:majorTickMark val="none"/>
        <c:minorTickMark val="none"/>
        <c:tickLblPos val="nextTo"/>
        <c:crossAx val="1438012127"/>
        <c:crosses val="autoZero"/>
        <c:auto val="1"/>
        <c:lblAlgn val="ctr"/>
        <c:lblOffset val="100"/>
        <c:noMultiLvlLbl val="0"/>
      </c:catAx>
      <c:valAx>
        <c:axId val="1438012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3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BA97B1D-527C-48F3-A7BF-EA1A2F8F3CC6}"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9</c:v>
                </c:pt>
              </c:numCache>
            </c:numRef>
          </c:val>
          <c:extLst>
            <c:ext xmlns:c16="http://schemas.microsoft.com/office/drawing/2014/chart" uri="{C3380CC4-5D6E-409C-BE32-E72D297353CC}">
              <c16:uniqueId val="{00000001-B5ED-44D6-915E-6B67AFEC8C1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5(%15)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5</c:v>
                </c:pt>
              </c:numCache>
            </c:numRef>
          </c:val>
          <c:extLst>
            <c:ext xmlns:c16="http://schemas.microsoft.com/office/drawing/2014/chart" uri="{C3380CC4-5D6E-409C-BE32-E72D297353CC}">
              <c16:uniqueId val="{00000003-B5ED-44D6-915E-6B67AFEC8C1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3B87A7F-5F10-4E49-8F5C-E0C72E887291}"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10</c:v>
                </c:pt>
              </c:numCache>
            </c:numRef>
          </c:val>
          <c:extLst>
            <c:ext xmlns:c16="http://schemas.microsoft.com/office/drawing/2014/chart" uri="{C3380CC4-5D6E-409C-BE32-E72D297353CC}">
              <c16:uniqueId val="{00000005-B5ED-44D6-915E-6B67AFEC8C1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62B8CF4B-E3E6-4BA3-9E07-FA1FE691FEB5}"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3</c:v>
                </c:pt>
              </c:numCache>
            </c:numRef>
          </c:val>
          <c:extLst>
            <c:ext xmlns:c16="http://schemas.microsoft.com/office/drawing/2014/chart" uri="{C3380CC4-5D6E-409C-BE32-E72D297353CC}">
              <c16:uniqueId val="{00000007-B5ED-44D6-915E-6B67AFEC8C1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r>
                      <a:rPr lang="en-US"/>
                      <a:t>6(%19)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6</c:v>
                </c:pt>
              </c:numCache>
            </c:numRef>
          </c:val>
          <c:extLst>
            <c:ext xmlns:c16="http://schemas.microsoft.com/office/drawing/2014/chart" uri="{C3380CC4-5D6E-409C-BE32-E72D297353CC}">
              <c16:uniqueId val="{00000009-B5ED-44D6-915E-6B67AFEC8C1E}"/>
            </c:ext>
          </c:extLst>
        </c:ser>
        <c:dLbls>
          <c:showLegendKey val="0"/>
          <c:showVal val="0"/>
          <c:showCatName val="0"/>
          <c:showSerName val="0"/>
          <c:showPercent val="0"/>
          <c:showBubbleSize val="0"/>
        </c:dLbls>
        <c:gapWidth val="219"/>
        <c:overlap val="-27"/>
        <c:axId val="1178356303"/>
        <c:axId val="678617904"/>
      </c:barChart>
      <c:catAx>
        <c:axId val="117835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617904"/>
        <c:crosses val="autoZero"/>
        <c:auto val="1"/>
        <c:lblAlgn val="ctr"/>
        <c:lblOffset val="100"/>
        <c:noMultiLvlLbl val="0"/>
      </c:catAx>
      <c:valAx>
        <c:axId val="67861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5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5(%16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6</c:v>
                </c:pt>
              </c:numCache>
            </c:numRef>
          </c:val>
          <c:extLst>
            <c:ext xmlns:c16="http://schemas.microsoft.com/office/drawing/2014/chart" uri="{C3380CC4-5D6E-409C-BE32-E72D297353CC}">
              <c16:uniqueId val="{00000001-D6C5-496C-8DE8-664C699FB71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2F028FB-30F2-4678-BCD5-068DAC03D83C}"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9</c:v>
                </c:pt>
              </c:numCache>
            </c:numRef>
          </c:val>
          <c:extLst>
            <c:ext xmlns:c16="http://schemas.microsoft.com/office/drawing/2014/chart" uri="{C3380CC4-5D6E-409C-BE32-E72D297353CC}">
              <c16:uniqueId val="{00000003-D6C5-496C-8DE8-664C699FB71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EE4A72F-8361-4212-B9EF-91041675CC7B}"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11</c:v>
                </c:pt>
              </c:numCache>
            </c:numRef>
          </c:val>
          <c:extLst>
            <c:ext xmlns:c16="http://schemas.microsoft.com/office/drawing/2014/chart" uri="{C3380CC4-5D6E-409C-BE32-E72D297353CC}">
              <c16:uniqueId val="{00000005-D6C5-496C-8DE8-664C699FB71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2E5B3DC-3485-4649-B58C-A7C40C86F361}"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4</c:v>
                </c:pt>
              </c:numCache>
            </c:numRef>
          </c:val>
          <c:extLst>
            <c:ext xmlns:c16="http://schemas.microsoft.com/office/drawing/2014/chart" uri="{C3380CC4-5D6E-409C-BE32-E72D297353CC}">
              <c16:uniqueId val="{00000007-D6C5-496C-8DE8-664C699FB714}"/>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1272669B-E940-4621-8E2B-A7B1B19DAA7C}"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4</c:v>
                </c:pt>
              </c:numCache>
            </c:numRef>
          </c:val>
          <c:extLst>
            <c:ext xmlns:c16="http://schemas.microsoft.com/office/drawing/2014/chart" uri="{C3380CC4-5D6E-409C-BE32-E72D297353CC}">
              <c16:uniqueId val="{00000009-D6C5-496C-8DE8-664C699FB714}"/>
            </c:ext>
          </c:extLst>
        </c:ser>
        <c:dLbls>
          <c:showLegendKey val="0"/>
          <c:showVal val="0"/>
          <c:showCatName val="0"/>
          <c:showSerName val="0"/>
          <c:showPercent val="0"/>
          <c:showBubbleSize val="0"/>
        </c:dLbls>
        <c:gapWidth val="219"/>
        <c:overlap val="-27"/>
        <c:axId val="1731475024"/>
        <c:axId val="2118988752"/>
      </c:barChart>
      <c:catAx>
        <c:axId val="1731475024"/>
        <c:scaling>
          <c:orientation val="minMax"/>
        </c:scaling>
        <c:delete val="1"/>
        <c:axPos val="b"/>
        <c:numFmt formatCode="General" sourceLinked="1"/>
        <c:majorTickMark val="none"/>
        <c:minorTickMark val="none"/>
        <c:tickLblPos val="nextTo"/>
        <c:crossAx val="2118988752"/>
        <c:crosses val="autoZero"/>
        <c:auto val="1"/>
        <c:lblAlgn val="ctr"/>
        <c:lblOffset val="100"/>
        <c:noMultiLvlLbl val="0"/>
      </c:catAx>
      <c:valAx>
        <c:axId val="211898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3147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7(%21)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7</c:v>
                </c:pt>
              </c:numCache>
            </c:numRef>
          </c:val>
          <c:extLst>
            <c:ext xmlns:c16="http://schemas.microsoft.com/office/drawing/2014/chart" uri="{C3380CC4-5D6E-409C-BE32-E72D297353CC}">
              <c16:uniqueId val="{00000001-DB91-4755-B5F0-1D30E814738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6D0F938-C7A5-4462-8F71-860154A9EB45}"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DB91-4755-B5F0-1D30E8147383}"/>
            </c:ext>
          </c:extLst>
        </c:ser>
        <c:ser>
          <c:idx val="2"/>
          <c:order val="2"/>
          <c:tx>
            <c:strRef>
              <c:f>Sayfa1!$D$1</c:f>
              <c:strCache>
                <c:ptCount val="1"/>
                <c:pt idx="0">
                  <c:v>Katılıyorum</c:v>
                </c:pt>
              </c:strCache>
            </c:strRef>
          </c:tx>
          <c:spPr>
            <a:solidFill>
              <a:schemeClr val="accent3"/>
            </a:solidFill>
            <a:ln>
              <a:noFill/>
            </a:ln>
            <a:effectLst/>
          </c:spPr>
          <c:invertIfNegative val="0"/>
          <c:dLbls>
            <c:dLbl>
              <c:idx val="0"/>
              <c:tx>
                <c:rich>
                  <a:bodyPr/>
                  <a:lstStyle/>
                  <a:p>
                    <a:fld id="{5F98FFF9-A4A1-4748-949A-F91727CF8A61}" type="VALUE">
                      <a:rPr lang="en-US"/>
                      <a:pPr/>
                      <a:t>[DEĞER]</a:t>
                    </a:fld>
                    <a:r>
                      <a:rPr lang="en-US"/>
                      <a:t>(%46)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15</c:v>
                </c:pt>
              </c:numCache>
            </c:numRef>
          </c:val>
          <c:extLst>
            <c:ext xmlns:c16="http://schemas.microsoft.com/office/drawing/2014/chart" uri="{C3380CC4-5D6E-409C-BE32-E72D297353CC}">
              <c16:uniqueId val="{00000005-DB91-4755-B5F0-1D30E8147383}"/>
            </c:ext>
          </c:extLst>
        </c:ser>
        <c:ser>
          <c:idx val="3"/>
          <c:order val="3"/>
          <c:tx>
            <c:strRef>
              <c:f>Sayfa1!$E$1</c:f>
              <c:strCache>
                <c:ptCount val="1"/>
                <c:pt idx="0">
                  <c:v>Katılıyorum2</c:v>
                </c:pt>
              </c:strCache>
            </c:strRef>
          </c:tx>
          <c:spPr>
            <a:solidFill>
              <a:schemeClr val="accent4"/>
            </a:solidFill>
            <a:ln>
              <a:noFill/>
            </a:ln>
            <a:effectLst/>
          </c:spPr>
          <c:invertIfNegative val="0"/>
          <c:dLbls>
            <c:dLbl>
              <c:idx val="0"/>
              <c:tx>
                <c:rich>
                  <a:bodyPr/>
                  <a:lstStyle/>
                  <a:p>
                    <a:fld id="{87504916-BA57-447A-9431-9DD1F5763EBC}"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7-DB91-4755-B5F0-1D30E814738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52F430B-08AF-46DF-B4E8-281856C9875E}"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DB91-4755-B5F0-1D30E8147383}"/>
            </c:ext>
          </c:extLst>
        </c:ser>
        <c:dLbls>
          <c:showLegendKey val="0"/>
          <c:showVal val="0"/>
          <c:showCatName val="0"/>
          <c:showSerName val="0"/>
          <c:showPercent val="0"/>
          <c:showBubbleSize val="0"/>
        </c:dLbls>
        <c:gapWidth val="219"/>
        <c:overlap val="-27"/>
        <c:axId val="1110517648"/>
        <c:axId val="1177216271"/>
      </c:barChart>
      <c:catAx>
        <c:axId val="1110517648"/>
        <c:scaling>
          <c:orientation val="minMax"/>
        </c:scaling>
        <c:delete val="1"/>
        <c:axPos val="b"/>
        <c:numFmt formatCode="General" sourceLinked="1"/>
        <c:majorTickMark val="none"/>
        <c:minorTickMark val="none"/>
        <c:tickLblPos val="nextTo"/>
        <c:crossAx val="1177216271"/>
        <c:crosses val="autoZero"/>
        <c:auto val="1"/>
        <c:lblAlgn val="ctr"/>
        <c:lblOffset val="100"/>
        <c:noMultiLvlLbl val="0"/>
      </c:catAx>
      <c:valAx>
        <c:axId val="1177216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F47E27CF-C6D6-4D4C-B3A8-E88510B9BC37}"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E5C7-4A93-B159-6986E58E9F1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54F1A48-C6C0-4F0A-8D40-3B1B963A16F1}"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3-E5C7-4A93-B159-6986E58E9F1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7DA57E3-32A6-4CB4-B5C0-33FF94388907}"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5-E5C7-4A93-B159-6986E58E9F1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39B06B2-C7E1-4EB2-9DB6-40F8FF53E767}"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11</c:v>
                </c:pt>
              </c:numCache>
            </c:numRef>
          </c:val>
          <c:extLst>
            <c:ext xmlns:c16="http://schemas.microsoft.com/office/drawing/2014/chart" uri="{C3380CC4-5D6E-409C-BE32-E72D297353CC}">
              <c16:uniqueId val="{00000007-E5C7-4A93-B159-6986E58E9F16}"/>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D184BE9-C509-4F59-96B3-B48A22031A82}"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9-E5C7-4A93-B159-6986E58E9F16}"/>
            </c:ext>
          </c:extLst>
        </c:ser>
        <c:dLbls>
          <c:showLegendKey val="0"/>
          <c:showVal val="0"/>
          <c:showCatName val="0"/>
          <c:showSerName val="0"/>
          <c:showPercent val="0"/>
          <c:showBubbleSize val="0"/>
        </c:dLbls>
        <c:gapWidth val="219"/>
        <c:overlap val="-27"/>
        <c:axId val="1110516688"/>
        <c:axId val="1160995807"/>
      </c:barChart>
      <c:catAx>
        <c:axId val="1110516688"/>
        <c:scaling>
          <c:orientation val="minMax"/>
        </c:scaling>
        <c:delete val="1"/>
        <c:axPos val="b"/>
        <c:numFmt formatCode="General" sourceLinked="1"/>
        <c:majorTickMark val="none"/>
        <c:minorTickMark val="none"/>
        <c:tickLblPos val="nextTo"/>
        <c:crossAx val="1160995807"/>
        <c:crosses val="autoZero"/>
        <c:auto val="1"/>
        <c:lblAlgn val="ctr"/>
        <c:lblOffset val="100"/>
        <c:noMultiLvlLbl val="0"/>
      </c:catAx>
      <c:valAx>
        <c:axId val="116099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EAA617D-2935-44E4-929A-A50C242D65A1}"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1-EED4-485E-A8D4-D42645E23D6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F5B5D5B-E64D-4F8F-B3EC-A2F3F1AD9E08}"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3-EED4-485E-A8D4-D42645E23D6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A5F84A1-099E-430A-BD9A-08B1D3D3BA00}"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11</c:v>
                </c:pt>
              </c:numCache>
            </c:numRef>
          </c:val>
          <c:extLst>
            <c:ext xmlns:c16="http://schemas.microsoft.com/office/drawing/2014/chart" uri="{C3380CC4-5D6E-409C-BE32-E72D297353CC}">
              <c16:uniqueId val="{00000005-EED4-485E-A8D4-D42645E23D6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E937DF2-7B27-43A3-A7C9-21F9B2CFF9BC}"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EED4-485E-A8D4-D42645E23D66}"/>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061814E-EA4A-4D65-838C-3CEA9BAC0E26}"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9-EED4-485E-A8D4-D42645E23D66}"/>
            </c:ext>
          </c:extLst>
        </c:ser>
        <c:dLbls>
          <c:showLegendKey val="0"/>
          <c:showVal val="0"/>
          <c:showCatName val="0"/>
          <c:showSerName val="0"/>
          <c:showPercent val="0"/>
          <c:showBubbleSize val="0"/>
        </c:dLbls>
        <c:gapWidth val="219"/>
        <c:overlap val="-27"/>
        <c:axId val="1110514768"/>
        <c:axId val="1435954639"/>
      </c:barChart>
      <c:catAx>
        <c:axId val="1110514768"/>
        <c:scaling>
          <c:orientation val="minMax"/>
        </c:scaling>
        <c:delete val="1"/>
        <c:axPos val="b"/>
        <c:numFmt formatCode="General" sourceLinked="1"/>
        <c:majorTickMark val="none"/>
        <c:minorTickMark val="none"/>
        <c:tickLblPos val="nextTo"/>
        <c:crossAx val="1435954639"/>
        <c:crosses val="autoZero"/>
        <c:auto val="1"/>
        <c:lblAlgn val="ctr"/>
        <c:lblOffset val="100"/>
        <c:noMultiLvlLbl val="0"/>
      </c:catAx>
      <c:valAx>
        <c:axId val="143595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0AF56A7-8BEC-470D-9C17-B16561773820}"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5</c:v>
                </c:pt>
              </c:numCache>
            </c:numRef>
          </c:val>
          <c:extLst>
            <c:ext xmlns:c16="http://schemas.microsoft.com/office/drawing/2014/chart" uri="{C3380CC4-5D6E-409C-BE32-E72D297353CC}">
              <c16:uniqueId val="{00000001-A6EB-4541-9BD0-79012C2AD98A}"/>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74D82B5-093C-4936-B414-88B0C814DB1A}"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2</c:v>
                </c:pt>
              </c:numCache>
            </c:numRef>
          </c:val>
          <c:extLst>
            <c:ext xmlns:c16="http://schemas.microsoft.com/office/drawing/2014/chart" uri="{C3380CC4-5D6E-409C-BE32-E72D297353CC}">
              <c16:uniqueId val="{00000003-A6EB-4541-9BD0-79012C2AD98A}"/>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F6BCF53-25BA-43B8-AFEF-896A31D8DF1F}" type="VALUE">
                      <a:rPr lang="en-US"/>
                      <a:pPr/>
                      <a:t>[DEĞER]</a:t>
                    </a:fld>
                    <a:r>
                      <a:rPr lang="en-US"/>
                      <a:t>(%46)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15</c:v>
                </c:pt>
              </c:numCache>
            </c:numRef>
          </c:val>
          <c:extLst>
            <c:ext xmlns:c16="http://schemas.microsoft.com/office/drawing/2014/chart" uri="{C3380CC4-5D6E-409C-BE32-E72D297353CC}">
              <c16:uniqueId val="{00000005-A6EB-4541-9BD0-79012C2AD98A}"/>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75593CC-D993-4A23-A9E5-7F0991050836}"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4</c:v>
                </c:pt>
              </c:numCache>
            </c:numRef>
          </c:val>
          <c:extLst>
            <c:ext xmlns:c16="http://schemas.microsoft.com/office/drawing/2014/chart" uri="{C3380CC4-5D6E-409C-BE32-E72D297353CC}">
              <c16:uniqueId val="{00000007-A6EB-4541-9BD0-79012C2AD98A}"/>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A499E4B4-4CED-4769-A4FD-99ABE264134C}"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7</c:v>
                </c:pt>
              </c:numCache>
            </c:numRef>
          </c:val>
          <c:extLst>
            <c:ext xmlns:c16="http://schemas.microsoft.com/office/drawing/2014/chart" uri="{C3380CC4-5D6E-409C-BE32-E72D297353CC}">
              <c16:uniqueId val="{00000009-A6EB-4541-9BD0-79012C2AD98A}"/>
            </c:ext>
          </c:extLst>
        </c:ser>
        <c:dLbls>
          <c:showLegendKey val="0"/>
          <c:showVal val="0"/>
          <c:showCatName val="0"/>
          <c:showSerName val="0"/>
          <c:showPercent val="0"/>
          <c:showBubbleSize val="0"/>
        </c:dLbls>
        <c:gapWidth val="219"/>
        <c:overlap val="-27"/>
        <c:axId val="1082733568"/>
        <c:axId val="1642279488"/>
      </c:barChart>
      <c:catAx>
        <c:axId val="108273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2279488"/>
        <c:crosses val="autoZero"/>
        <c:auto val="1"/>
        <c:lblAlgn val="ctr"/>
        <c:lblOffset val="100"/>
        <c:noMultiLvlLbl val="0"/>
      </c:catAx>
      <c:valAx>
        <c:axId val="164227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273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DC08D72-880C-4A31-9793-C5BF14A6A75F}"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A99F-4542-8252-675C34F0337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E3E4D41-E7A1-4C2A-9B40-6751D2556E59}"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3-A99F-4542-8252-675C34F0337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8F9C7AEB-081B-41BC-93A5-8ED809687241}"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A99F-4542-8252-675C34F0337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26468A5-16DF-4365-BA16-410B14C7488B}"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12</c:v>
                </c:pt>
              </c:numCache>
            </c:numRef>
          </c:val>
          <c:extLst>
            <c:ext xmlns:c16="http://schemas.microsoft.com/office/drawing/2014/chart" uri="{C3380CC4-5D6E-409C-BE32-E72D297353CC}">
              <c16:uniqueId val="{00000007-A99F-4542-8252-675C34F0337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C9812E3-CB57-4BF0-A623-647A8348EE44}"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A99F-4542-8252-675C34F03375}"/>
            </c:ext>
          </c:extLst>
        </c:ser>
        <c:dLbls>
          <c:showLegendKey val="0"/>
          <c:showVal val="0"/>
          <c:showCatName val="0"/>
          <c:showSerName val="0"/>
          <c:showPercent val="0"/>
          <c:showBubbleSize val="0"/>
        </c:dLbls>
        <c:gapWidth val="219"/>
        <c:overlap val="-27"/>
        <c:axId val="1082718208"/>
        <c:axId val="597958688"/>
      </c:barChart>
      <c:catAx>
        <c:axId val="1082718208"/>
        <c:scaling>
          <c:orientation val="minMax"/>
        </c:scaling>
        <c:delete val="1"/>
        <c:axPos val="b"/>
        <c:numFmt formatCode="General" sourceLinked="1"/>
        <c:majorTickMark val="none"/>
        <c:minorTickMark val="none"/>
        <c:tickLblPos val="nextTo"/>
        <c:crossAx val="597958688"/>
        <c:crosses val="autoZero"/>
        <c:auto val="1"/>
        <c:lblAlgn val="ctr"/>
        <c:lblOffset val="100"/>
        <c:noMultiLvlLbl val="0"/>
      </c:catAx>
      <c:valAx>
        <c:axId val="59795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27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4(%13)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1-C7E9-4358-A9A4-2A06CE3BF00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D0D2BAE-D9BB-409C-9400-6FF0B39A1FAF}"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10</c:v>
                </c:pt>
              </c:numCache>
            </c:numRef>
          </c:val>
          <c:extLst>
            <c:ext xmlns:c16="http://schemas.microsoft.com/office/drawing/2014/chart" uri="{C3380CC4-5D6E-409C-BE32-E72D297353CC}">
              <c16:uniqueId val="{00000003-C7E9-4358-A9A4-2A06CE3BF00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8(%24)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C7E9-4358-A9A4-2A06CE3BF00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3C349A1-114C-423F-9DC8-36E847880A11}"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7-C7E9-4358-A9A4-2A06CE3BF000}"/>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9DDAB00D-8B85-478F-AD4A-2EF63DFB59F1}"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C7E9-4358-A9A4-2A06CE3BF000}"/>
            </c:ext>
          </c:extLst>
        </c:ser>
        <c:dLbls>
          <c:showLegendKey val="0"/>
          <c:showVal val="0"/>
          <c:showCatName val="0"/>
          <c:showSerName val="0"/>
          <c:showPercent val="0"/>
          <c:showBubbleSize val="0"/>
        </c:dLbls>
        <c:gapWidth val="219"/>
        <c:overlap val="-27"/>
        <c:axId val="1107197311"/>
        <c:axId val="95072480"/>
      </c:barChart>
      <c:catAx>
        <c:axId val="1107197311"/>
        <c:scaling>
          <c:orientation val="minMax"/>
        </c:scaling>
        <c:delete val="1"/>
        <c:axPos val="b"/>
        <c:numFmt formatCode="General" sourceLinked="1"/>
        <c:majorTickMark val="none"/>
        <c:minorTickMark val="none"/>
        <c:tickLblPos val="nextTo"/>
        <c:crossAx val="95072480"/>
        <c:crosses val="autoZero"/>
        <c:auto val="1"/>
        <c:lblAlgn val="ctr"/>
        <c:lblOffset val="100"/>
        <c:noMultiLvlLbl val="0"/>
      </c:catAx>
      <c:valAx>
        <c:axId val="9507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719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1BBB98EB-C328-4E1D-9BEF-11F69041C018}"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c:v>
                </c:pt>
              </c:numCache>
            </c:numRef>
          </c:val>
          <c:extLst>
            <c:ext xmlns:c16="http://schemas.microsoft.com/office/drawing/2014/chart" uri="{C3380CC4-5D6E-409C-BE32-E72D297353CC}">
              <c16:uniqueId val="{00000001-64DE-40CD-AB89-BF310203117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FB2F9F99-B18A-4774-852C-C804CE1D1187}"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1</c:v>
                </c:pt>
              </c:numCache>
            </c:numRef>
          </c:val>
          <c:extLst>
            <c:ext xmlns:c16="http://schemas.microsoft.com/office/drawing/2014/chart" uri="{C3380CC4-5D6E-409C-BE32-E72D297353CC}">
              <c16:uniqueId val="{00000003-64DE-40CD-AB89-BF310203117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D9A94B0C-BDCE-4CB5-9728-631E05891EE3}"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5</c:v>
                </c:pt>
              </c:numCache>
            </c:numRef>
          </c:val>
          <c:extLst>
            <c:ext xmlns:c16="http://schemas.microsoft.com/office/drawing/2014/chart" uri="{C3380CC4-5D6E-409C-BE32-E72D297353CC}">
              <c16:uniqueId val="{00000005-64DE-40CD-AB89-BF310203117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C2E7B5F-2865-47C8-8F9B-96E9DEBBB0E8}"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9</c:v>
                </c:pt>
              </c:numCache>
            </c:numRef>
          </c:val>
          <c:extLst>
            <c:ext xmlns:c16="http://schemas.microsoft.com/office/drawing/2014/chart" uri="{C3380CC4-5D6E-409C-BE32-E72D297353CC}">
              <c16:uniqueId val="{00000007-64DE-40CD-AB89-BF3102031170}"/>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8673708D-7898-4074-989E-25D2F3BD8C65}" type="VALUE">
                      <a:rPr lang="en-US"/>
                      <a:pPr/>
                      <a:t>[DEĞER]</a:t>
                    </a:fld>
                    <a:r>
                      <a:rPr lang="en-US"/>
                      <a:t>(%52)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17</c:v>
                </c:pt>
              </c:numCache>
            </c:numRef>
          </c:val>
          <c:extLst>
            <c:ext xmlns:c16="http://schemas.microsoft.com/office/drawing/2014/chart" uri="{C3380CC4-5D6E-409C-BE32-E72D297353CC}">
              <c16:uniqueId val="{00000009-64DE-40CD-AB89-BF3102031170}"/>
            </c:ext>
          </c:extLst>
        </c:ser>
        <c:dLbls>
          <c:showLegendKey val="0"/>
          <c:showVal val="0"/>
          <c:showCatName val="0"/>
          <c:showSerName val="0"/>
          <c:showPercent val="0"/>
          <c:showBubbleSize val="0"/>
        </c:dLbls>
        <c:gapWidth val="219"/>
        <c:overlap val="-27"/>
        <c:axId val="1732578544"/>
        <c:axId val="1093812255"/>
      </c:barChart>
      <c:catAx>
        <c:axId val="173257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93812255"/>
        <c:crosses val="autoZero"/>
        <c:auto val="1"/>
        <c:lblAlgn val="ctr"/>
        <c:lblOffset val="100"/>
        <c:noMultiLvlLbl val="0"/>
      </c:catAx>
      <c:valAx>
        <c:axId val="1093812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3257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6(%18)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12</c:v>
                </c:pt>
              </c:numCache>
            </c:numRef>
          </c:val>
          <c:extLst>
            <c:ext xmlns:c16="http://schemas.microsoft.com/office/drawing/2014/chart" uri="{C3380CC4-5D6E-409C-BE32-E72D297353CC}">
              <c16:uniqueId val="{00000001-F579-4D99-8956-EFD2575D1E2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D0D2BAE-D9BB-409C-9400-6FF0B39A1FAF}"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3-F579-4D99-8956-EFD2575D1E2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8(%24)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F579-4D99-8956-EFD2575D1E2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3C349A1-114C-423F-9DC8-36E847880A11}"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9</c:v>
                </c:pt>
              </c:numCache>
            </c:numRef>
          </c:val>
          <c:extLst>
            <c:ext xmlns:c16="http://schemas.microsoft.com/office/drawing/2014/chart" uri="{C3380CC4-5D6E-409C-BE32-E72D297353CC}">
              <c16:uniqueId val="{00000007-F579-4D99-8956-EFD2575D1E24}"/>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9DDAB00D-8B85-478F-AD4A-2EF63DFB59F1}"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F579-4D99-8956-EFD2575D1E24}"/>
            </c:ext>
          </c:extLst>
        </c:ser>
        <c:dLbls>
          <c:showLegendKey val="0"/>
          <c:showVal val="0"/>
          <c:showCatName val="0"/>
          <c:showSerName val="0"/>
          <c:showPercent val="0"/>
          <c:showBubbleSize val="0"/>
        </c:dLbls>
        <c:gapWidth val="219"/>
        <c:overlap val="-27"/>
        <c:axId val="1107197311"/>
        <c:axId val="95072480"/>
      </c:barChart>
      <c:catAx>
        <c:axId val="1107197311"/>
        <c:scaling>
          <c:orientation val="minMax"/>
        </c:scaling>
        <c:delete val="1"/>
        <c:axPos val="b"/>
        <c:numFmt formatCode="General" sourceLinked="1"/>
        <c:majorTickMark val="none"/>
        <c:minorTickMark val="none"/>
        <c:tickLblPos val="nextTo"/>
        <c:crossAx val="95072480"/>
        <c:crosses val="autoZero"/>
        <c:auto val="1"/>
        <c:lblAlgn val="ctr"/>
        <c:lblOffset val="100"/>
        <c:noMultiLvlLbl val="0"/>
      </c:catAx>
      <c:valAx>
        <c:axId val="9507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719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3(%10)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3</c:v>
                </c:pt>
              </c:numCache>
            </c:numRef>
          </c:val>
          <c:extLst>
            <c:ext xmlns:c16="http://schemas.microsoft.com/office/drawing/2014/chart" uri="{C3380CC4-5D6E-409C-BE32-E72D297353CC}">
              <c16:uniqueId val="{00000001-15E1-4342-B910-388C4B9CB4F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8745E65-C37B-41DD-8B1C-F792D1B94506}"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8</c:v>
                </c:pt>
              </c:numCache>
            </c:numRef>
          </c:val>
          <c:extLst>
            <c:ext xmlns:c16="http://schemas.microsoft.com/office/drawing/2014/chart" uri="{C3380CC4-5D6E-409C-BE32-E72D297353CC}">
              <c16:uniqueId val="{00000003-15E1-4342-B910-388C4B9CB4F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1BD35A92-B595-47A8-B621-4E6DCF6C97C7}"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7</c:v>
                </c:pt>
              </c:numCache>
            </c:numRef>
          </c:val>
          <c:extLst>
            <c:ext xmlns:c16="http://schemas.microsoft.com/office/drawing/2014/chart" uri="{C3380CC4-5D6E-409C-BE32-E72D297353CC}">
              <c16:uniqueId val="{00000005-15E1-4342-B910-388C4B9CB4F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6714D94-107A-44A1-8BC9-27696D019639}"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9</c:v>
                </c:pt>
              </c:numCache>
            </c:numRef>
          </c:val>
          <c:extLst>
            <c:ext xmlns:c16="http://schemas.microsoft.com/office/drawing/2014/chart" uri="{C3380CC4-5D6E-409C-BE32-E72D297353CC}">
              <c16:uniqueId val="{00000007-15E1-4342-B910-388C4B9CB4F7}"/>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C007CC45-3202-4919-AA01-DC37D1FB5BF4}"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6</c:v>
                </c:pt>
              </c:numCache>
            </c:numRef>
          </c:val>
          <c:extLst>
            <c:ext xmlns:c16="http://schemas.microsoft.com/office/drawing/2014/chart" uri="{C3380CC4-5D6E-409C-BE32-E72D297353CC}">
              <c16:uniqueId val="{00000009-15E1-4342-B910-388C4B9CB4F7}"/>
            </c:ext>
          </c:extLst>
        </c:ser>
        <c:dLbls>
          <c:showLegendKey val="0"/>
          <c:showVal val="0"/>
          <c:showCatName val="0"/>
          <c:showSerName val="0"/>
          <c:showPercent val="0"/>
          <c:showBubbleSize val="0"/>
        </c:dLbls>
        <c:gapWidth val="219"/>
        <c:overlap val="-27"/>
        <c:axId val="1108092480"/>
        <c:axId val="3784496"/>
      </c:barChart>
      <c:catAx>
        <c:axId val="1108092480"/>
        <c:scaling>
          <c:orientation val="minMax"/>
        </c:scaling>
        <c:delete val="1"/>
        <c:axPos val="b"/>
        <c:numFmt formatCode="General" sourceLinked="1"/>
        <c:majorTickMark val="none"/>
        <c:minorTickMark val="none"/>
        <c:tickLblPos val="nextTo"/>
        <c:crossAx val="3784496"/>
        <c:crosses val="autoZero"/>
        <c:auto val="1"/>
        <c:lblAlgn val="ctr"/>
        <c:lblOffset val="100"/>
        <c:noMultiLvlLbl val="0"/>
      </c:catAx>
      <c:valAx>
        <c:axId val="378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809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cat>
            <c:numRef>
              <c:f>Sayfa1!$A$2</c:f>
              <c:numCache>
                <c:formatCode>General</c:formatCode>
                <c:ptCount val="1"/>
              </c:numCache>
            </c:numRef>
          </c:cat>
          <c:val>
            <c:numRef>
              <c:f>Sayfa1!$B$2</c:f>
              <c:numCache>
                <c:formatCode>General</c:formatCode>
                <c:ptCount val="1"/>
              </c:numCache>
            </c:numRef>
          </c:val>
          <c:extLst>
            <c:ext xmlns:c16="http://schemas.microsoft.com/office/drawing/2014/chart" uri="{C3380CC4-5D6E-409C-BE32-E72D297353CC}">
              <c16:uniqueId val="{00000000-2B93-4C74-A0FF-D408230F155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8317485-2EF0-4EC6-B0BF-C990C49786E8}"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B93-4C74-A0FF-D408230F15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4</c:v>
                </c:pt>
              </c:numCache>
            </c:numRef>
          </c:val>
          <c:extLst>
            <c:ext xmlns:c16="http://schemas.microsoft.com/office/drawing/2014/chart" uri="{C3380CC4-5D6E-409C-BE32-E72D297353CC}">
              <c16:uniqueId val="{00000002-2B93-4C74-A0FF-D408230F155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86BD9F57-B4D2-414F-91A1-FDF05D1C32EA}"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B93-4C74-A0FF-D408230F15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3</c:v>
                </c:pt>
              </c:numCache>
            </c:numRef>
          </c:val>
          <c:extLst>
            <c:ext xmlns:c16="http://schemas.microsoft.com/office/drawing/2014/chart" uri="{C3380CC4-5D6E-409C-BE32-E72D297353CC}">
              <c16:uniqueId val="{00000004-2B93-4C74-A0FF-D408230F155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511FC2B-BB57-497C-97F9-A76CEE76E540}"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B93-4C74-A0FF-D408230F15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10</c:v>
                </c:pt>
              </c:numCache>
            </c:numRef>
          </c:val>
          <c:extLst>
            <c:ext xmlns:c16="http://schemas.microsoft.com/office/drawing/2014/chart" uri="{C3380CC4-5D6E-409C-BE32-E72D297353CC}">
              <c16:uniqueId val="{00000006-2B93-4C74-A0FF-D408230F1553}"/>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E39FDC4B-F8E1-477F-838E-96AFA083AAA9}"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B93-4C74-A0FF-D408230F15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16</c:v>
                </c:pt>
              </c:numCache>
            </c:numRef>
          </c:val>
          <c:extLst>
            <c:ext xmlns:c16="http://schemas.microsoft.com/office/drawing/2014/chart" uri="{C3380CC4-5D6E-409C-BE32-E72D297353CC}">
              <c16:uniqueId val="{00000008-2B93-4C74-A0FF-D408230F1553}"/>
            </c:ext>
          </c:extLst>
        </c:ser>
        <c:dLbls>
          <c:showLegendKey val="0"/>
          <c:showVal val="0"/>
          <c:showCatName val="0"/>
          <c:showSerName val="0"/>
          <c:showPercent val="0"/>
          <c:showBubbleSize val="0"/>
        </c:dLbls>
        <c:gapWidth val="219"/>
        <c:overlap val="-27"/>
        <c:axId val="1462288400"/>
        <c:axId val="1648357136"/>
      </c:barChart>
      <c:catAx>
        <c:axId val="146228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8357136"/>
        <c:crosses val="autoZero"/>
        <c:auto val="1"/>
        <c:lblAlgn val="ctr"/>
        <c:lblOffset val="100"/>
        <c:noMultiLvlLbl val="0"/>
      </c:catAx>
      <c:valAx>
        <c:axId val="164835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6228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0-E0F8-4C15-9911-5C5835A0626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C04CEA7-4386-4FAE-ACDE-C075B9A09C9D}"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0F8-4C15-9911-5C5835A06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2-E0F8-4C15-9911-5C5835A0626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913856A-80AD-43DB-92E9-DD5F5313749E}"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0F8-4C15-9911-5C5835A06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4-E0F8-4C15-9911-5C5835A0626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83BEECD-9A70-4E29-93E4-3049CD917140}" type="VALUE">
                      <a:rPr lang="en-US"/>
                      <a:pPr/>
                      <a:t>[DEĞER]</a:t>
                    </a:fld>
                    <a:r>
                      <a:rPr lang="en-US"/>
                      <a:t>(%40)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0F8-4C15-9911-5C5835A06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13</c:v>
                </c:pt>
              </c:numCache>
            </c:numRef>
          </c:val>
          <c:extLst>
            <c:ext xmlns:c16="http://schemas.microsoft.com/office/drawing/2014/chart" uri="{C3380CC4-5D6E-409C-BE32-E72D297353CC}">
              <c16:uniqueId val="{00000006-E0F8-4C15-9911-5C5835A06267}"/>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A7C6A2B-5747-4248-900E-63C32FEA0274}"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0F8-4C15-9911-5C5835A06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8-E0F8-4C15-9911-5C5835A06267}"/>
            </c:ext>
          </c:extLst>
        </c:ser>
        <c:dLbls>
          <c:showLegendKey val="0"/>
          <c:showVal val="0"/>
          <c:showCatName val="0"/>
          <c:showSerName val="0"/>
          <c:showPercent val="0"/>
          <c:showBubbleSize val="0"/>
        </c:dLbls>
        <c:gapWidth val="219"/>
        <c:overlap val="-27"/>
        <c:axId val="516128112"/>
        <c:axId val="516133392"/>
      </c:barChart>
      <c:catAx>
        <c:axId val="51612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6133392"/>
        <c:crosses val="autoZero"/>
        <c:auto val="1"/>
        <c:lblAlgn val="ctr"/>
        <c:lblOffset val="100"/>
        <c:noMultiLvlLbl val="0"/>
      </c:catAx>
      <c:valAx>
        <c:axId val="51613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612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ECEC786-4E41-4D15-826D-7979ADC67E22}"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5102-470D-9AFD-2E050AB800B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B8988CE-AD47-4C02-80BC-1AB5E17E7CFC}"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5102-470D-9AFD-2E050AB800B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B5B1148-6D3A-414C-8061-628425EDA15F}"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5-5102-470D-9AFD-2E050AB800B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B5CAC971-057C-42AF-80A4-4309B555302F}" type="VALUE">
                      <a:rPr lang="en-US"/>
                      <a:pPr/>
                      <a:t>[DEĞER]</a:t>
                    </a:fld>
                    <a:r>
                      <a:rPr lang="en-US"/>
                      <a:t>(%40)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13</c:v>
                </c:pt>
              </c:numCache>
            </c:numRef>
          </c:val>
          <c:extLst>
            <c:ext xmlns:c16="http://schemas.microsoft.com/office/drawing/2014/chart" uri="{C3380CC4-5D6E-409C-BE32-E72D297353CC}">
              <c16:uniqueId val="{00000007-5102-470D-9AFD-2E050AB800B8}"/>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D8D410F0-2B8D-408E-B7E5-1567278070AB}"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9-5102-470D-9AFD-2E050AB800B8}"/>
            </c:ext>
          </c:extLst>
        </c:ser>
        <c:dLbls>
          <c:showLegendKey val="0"/>
          <c:showVal val="0"/>
          <c:showCatName val="0"/>
          <c:showSerName val="0"/>
          <c:showPercent val="0"/>
          <c:showBubbleSize val="0"/>
        </c:dLbls>
        <c:gapWidth val="219"/>
        <c:overlap val="-27"/>
        <c:axId val="11292768"/>
        <c:axId val="1143942672"/>
      </c:barChart>
      <c:catAx>
        <c:axId val="11292768"/>
        <c:scaling>
          <c:orientation val="minMax"/>
        </c:scaling>
        <c:delete val="1"/>
        <c:axPos val="b"/>
        <c:numFmt formatCode="General" sourceLinked="1"/>
        <c:majorTickMark val="none"/>
        <c:minorTickMark val="none"/>
        <c:tickLblPos val="nextTo"/>
        <c:crossAx val="1143942672"/>
        <c:crosses val="autoZero"/>
        <c:auto val="1"/>
        <c:lblAlgn val="ctr"/>
        <c:lblOffset val="100"/>
        <c:noMultiLvlLbl val="0"/>
      </c:catAx>
      <c:valAx>
        <c:axId val="114394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9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1708</TotalTime>
  <Pages>9</Pages>
  <Words>1548</Words>
  <Characters>8830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Yakup Taşdemir</cp:lastModifiedBy>
  <cp:revision>296</cp:revision>
  <dcterms:created xsi:type="dcterms:W3CDTF">2023-04-13T03:36:00Z</dcterms:created>
  <dcterms:modified xsi:type="dcterms:W3CDTF">2025-11-09T13:00:00Z</dcterms:modified>
</cp:coreProperties>
</file>