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3186" w14:textId="77777777" w:rsidR="007000C4" w:rsidRPr="00431CAA" w:rsidRDefault="007000C4" w:rsidP="007000C4">
      <w:pPr>
        <w:rPr>
          <w:rFonts w:ascii="Times New Roman" w:hAnsi="Times New Roman"/>
          <w:b/>
          <w:bCs/>
          <w:kern w:val="0"/>
          <w:sz w:val="24"/>
          <w:szCs w:val="24"/>
          <w14:ligatures w14:val="none"/>
        </w:rPr>
      </w:pPr>
      <w:r w:rsidRPr="00431CAA">
        <w:rPr>
          <w:rFonts w:ascii="Times New Roman" w:hAnsi="Times New Roman"/>
          <w:b/>
          <w:bCs/>
          <w:kern w:val="0"/>
          <w:sz w:val="24"/>
          <w:szCs w:val="24"/>
          <w14:ligatures w14:val="none"/>
        </w:rPr>
        <w:t>ÇANAKKALE ONSEKİZ MART ÜNİVERSİTESİ LİSANSÜSTÜ EĞİTİM ENSTİTÜSÜ MALİYE ANABİLİM DALI DOKTORA PROGRAMI STRATEJİK PLANI (2024-2028)</w:t>
      </w:r>
    </w:p>
    <w:p w14:paraId="6FDFE95F" w14:textId="77777777" w:rsidR="007000C4" w:rsidRPr="00C56F2A" w:rsidRDefault="007000C4" w:rsidP="007000C4">
      <w:pPr>
        <w:widowControl w:val="0"/>
        <w:suppressAutoHyphens/>
        <w:spacing w:after="0" w:line="100" w:lineRule="atLeast"/>
        <w:jc w:val="both"/>
        <w:rPr>
          <w:rFonts w:ascii="Times New Roman" w:eastAsia="SimSun" w:hAnsi="Times New Roman" w:cs="Arial"/>
          <w:b/>
          <w:kern w:val="1"/>
          <w:sz w:val="24"/>
          <w:szCs w:val="24"/>
          <w:lang w:eastAsia="hi-IN" w:bidi="hi-IN"/>
          <w14:ligatures w14:val="none"/>
        </w:rPr>
      </w:pPr>
    </w:p>
    <w:p w14:paraId="7C08DFEA" w14:textId="77777777" w:rsidR="007000C4" w:rsidRPr="001307A9" w:rsidRDefault="007000C4" w:rsidP="007000C4">
      <w:pPr>
        <w:spacing w:after="0" w:line="240" w:lineRule="auto"/>
        <w:jc w:val="both"/>
        <w:rPr>
          <w:rFonts w:ascii="Times New Roman" w:hAnsi="Times New Roman"/>
          <w:b/>
          <w:bCs/>
          <w:kern w:val="0"/>
          <w:sz w:val="24"/>
          <w:szCs w:val="24"/>
          <w14:ligatures w14:val="none"/>
        </w:rPr>
      </w:pPr>
      <w:r w:rsidRPr="001307A9">
        <w:rPr>
          <w:rFonts w:ascii="Times New Roman" w:hAnsi="Times New Roman"/>
          <w:b/>
          <w:bCs/>
          <w:kern w:val="0"/>
          <w:sz w:val="24"/>
          <w:szCs w:val="24"/>
          <w14:ligatures w14:val="none"/>
        </w:rPr>
        <w:t xml:space="preserve">STRATEJİK AMAÇ: AR-GE, YENİLİKÇİLİK FAALİYETLERİNİ GELİŞTİRMEK </w:t>
      </w:r>
    </w:p>
    <w:p w14:paraId="7B82FE54" w14:textId="77777777" w:rsidR="007000C4" w:rsidRPr="006D3558" w:rsidRDefault="007000C4" w:rsidP="007000C4">
      <w:pPr>
        <w:spacing w:after="0" w:line="240" w:lineRule="auto"/>
        <w:jc w:val="both"/>
        <w:rPr>
          <w:rFonts w:ascii="Times New Roman" w:hAnsi="Times New Roman"/>
          <w:kern w:val="0"/>
          <w:sz w:val="24"/>
          <w:szCs w:val="24"/>
          <w14:ligatures w14:val="none"/>
        </w:rPr>
      </w:pPr>
      <w:r w:rsidRPr="006D3558">
        <w:rPr>
          <w:rFonts w:ascii="Times New Roman" w:hAnsi="Times New Roman"/>
          <w:b/>
          <w:bCs/>
          <w:kern w:val="0"/>
          <w:sz w:val="24"/>
          <w:szCs w:val="24"/>
          <w14:ligatures w14:val="none"/>
        </w:rPr>
        <w:t>Stratejik Hedef:</w:t>
      </w:r>
      <w:r w:rsidRPr="006D3558">
        <w:rPr>
          <w:rFonts w:ascii="Times New Roman" w:hAnsi="Times New Roman"/>
          <w:kern w:val="0"/>
          <w:sz w:val="24"/>
          <w:szCs w:val="24"/>
          <w14:ligatures w14:val="none"/>
        </w:rPr>
        <w:t xml:space="preserve"> Akademik beceri, nitelik ve etkin araştırma yapabilme kapasitesini artırmak </w:t>
      </w:r>
    </w:p>
    <w:p w14:paraId="6B63D320" w14:textId="77777777" w:rsidR="007000C4" w:rsidRPr="006D3558" w:rsidRDefault="007000C4" w:rsidP="007000C4">
      <w:pPr>
        <w:spacing w:after="0" w:line="240" w:lineRule="auto"/>
        <w:jc w:val="both"/>
        <w:rPr>
          <w:rFonts w:ascii="Times New Roman" w:hAnsi="Times New Roman"/>
          <w:kern w:val="0"/>
          <w:sz w:val="24"/>
          <w:szCs w:val="24"/>
          <w14:ligatures w14:val="none"/>
        </w:rPr>
      </w:pPr>
      <w:r w:rsidRPr="006D3558">
        <w:rPr>
          <w:rFonts w:ascii="Times New Roman" w:hAnsi="Times New Roman"/>
          <w:b/>
          <w:bCs/>
          <w:kern w:val="0"/>
          <w:sz w:val="24"/>
          <w:szCs w:val="24"/>
          <w14:ligatures w14:val="none"/>
        </w:rPr>
        <w:t>Strateji 1.1.:</w:t>
      </w:r>
      <w:r w:rsidRPr="006D3558">
        <w:rPr>
          <w:rFonts w:ascii="Times New Roman" w:hAnsi="Times New Roman"/>
          <w:kern w:val="0"/>
          <w:sz w:val="24"/>
          <w:szCs w:val="24"/>
          <w14:ligatures w14:val="none"/>
        </w:rPr>
        <w:t xml:space="preserve"> Doktora tez çalışmalarını nitel ve nicel olarak artırmak </w:t>
      </w:r>
    </w:p>
    <w:p w14:paraId="6FA76124" w14:textId="77777777" w:rsidR="007000C4" w:rsidRPr="006D3558" w:rsidRDefault="007000C4" w:rsidP="007000C4">
      <w:pPr>
        <w:spacing w:after="0" w:line="240" w:lineRule="auto"/>
        <w:jc w:val="both"/>
        <w:rPr>
          <w:rFonts w:ascii="Times New Roman" w:hAnsi="Times New Roman"/>
          <w:kern w:val="0"/>
          <w:sz w:val="24"/>
          <w:szCs w:val="24"/>
          <w14:ligatures w14:val="none"/>
        </w:rPr>
      </w:pPr>
      <w:r w:rsidRPr="006D3558">
        <w:rPr>
          <w:rFonts w:ascii="Times New Roman" w:hAnsi="Times New Roman"/>
          <w:b/>
          <w:bCs/>
          <w:kern w:val="0"/>
          <w:sz w:val="24"/>
          <w:szCs w:val="24"/>
          <w14:ligatures w14:val="none"/>
        </w:rPr>
        <w:t>Strateji 1.2.:</w:t>
      </w:r>
      <w:r w:rsidRPr="006D3558">
        <w:rPr>
          <w:rFonts w:ascii="Times New Roman" w:hAnsi="Times New Roman"/>
          <w:kern w:val="0"/>
          <w:sz w:val="24"/>
          <w:szCs w:val="24"/>
          <w14:ligatures w14:val="none"/>
        </w:rPr>
        <w:t xml:space="preserve"> Tezlerden üretilen ve çeşitli dergilerde yayınlanan çalışmaları teşvik etmek </w:t>
      </w:r>
    </w:p>
    <w:p w14:paraId="03469F4A" w14:textId="77777777" w:rsidR="007000C4" w:rsidRPr="006D3558" w:rsidRDefault="007000C4" w:rsidP="007000C4">
      <w:pPr>
        <w:spacing w:after="0" w:line="240" w:lineRule="auto"/>
        <w:jc w:val="both"/>
        <w:rPr>
          <w:rFonts w:ascii="Times New Roman" w:hAnsi="Times New Roman"/>
          <w:kern w:val="0"/>
          <w:sz w:val="24"/>
          <w:szCs w:val="24"/>
          <w14:ligatures w14:val="none"/>
        </w:rPr>
      </w:pPr>
      <w:r w:rsidRPr="006D3558">
        <w:rPr>
          <w:rFonts w:ascii="Times New Roman" w:hAnsi="Times New Roman"/>
          <w:b/>
          <w:bCs/>
          <w:kern w:val="0"/>
          <w:sz w:val="24"/>
          <w:szCs w:val="24"/>
          <w14:ligatures w14:val="none"/>
        </w:rPr>
        <w:t>Strateji 1.3.:</w:t>
      </w:r>
      <w:r w:rsidRPr="006D3558">
        <w:rPr>
          <w:rFonts w:ascii="Times New Roman" w:hAnsi="Times New Roman"/>
          <w:kern w:val="0"/>
          <w:sz w:val="24"/>
          <w:szCs w:val="24"/>
          <w14:ligatures w14:val="none"/>
        </w:rPr>
        <w:t xml:space="preserve"> Doktora tezlerinden üretilen yayınların kalitesini artırmak</w:t>
      </w:r>
    </w:p>
    <w:p w14:paraId="47597B13" w14:textId="77777777" w:rsidR="007000C4" w:rsidRPr="00C56F2A" w:rsidRDefault="007000C4" w:rsidP="007000C4">
      <w:pPr>
        <w:widowControl w:val="0"/>
        <w:autoSpaceDE w:val="0"/>
        <w:autoSpaceDN w:val="0"/>
        <w:spacing w:after="1" w:line="240" w:lineRule="auto"/>
        <w:jc w:val="both"/>
        <w:rPr>
          <w:rFonts w:ascii="Times New Roman" w:eastAsia="Times New Roman" w:hAnsi="Times New Roman" w:cs="Times New Roman"/>
          <w:kern w:val="0"/>
          <w:sz w:val="24"/>
          <w:szCs w:val="24"/>
          <w14:ligatures w14:val="none"/>
        </w:rPr>
      </w:pPr>
    </w:p>
    <w:tbl>
      <w:tblPr>
        <w:tblW w:w="10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639"/>
        <w:gridCol w:w="641"/>
        <w:gridCol w:w="641"/>
        <w:gridCol w:w="744"/>
        <w:gridCol w:w="643"/>
        <w:gridCol w:w="686"/>
        <w:gridCol w:w="711"/>
        <w:gridCol w:w="708"/>
        <w:gridCol w:w="708"/>
        <w:gridCol w:w="708"/>
      </w:tblGrid>
      <w:tr w:rsidR="007000C4" w:rsidRPr="00C56F2A" w14:paraId="089994FF" w14:textId="77777777" w:rsidTr="0008122D">
        <w:trPr>
          <w:trHeight w:val="273"/>
        </w:trPr>
        <w:tc>
          <w:tcPr>
            <w:tcW w:w="3209" w:type="dxa"/>
            <w:vMerge w:val="restart"/>
            <w:tcBorders>
              <w:bottom w:val="single" w:sz="6" w:space="0" w:color="000000"/>
            </w:tcBorders>
          </w:tcPr>
          <w:p w14:paraId="4ED373A7" w14:textId="77777777" w:rsidR="007000C4" w:rsidRPr="009522BC" w:rsidRDefault="007000C4" w:rsidP="0008122D">
            <w:pPr>
              <w:widowControl w:val="0"/>
              <w:autoSpaceDE w:val="0"/>
              <w:autoSpaceDN w:val="0"/>
              <w:spacing w:before="140" w:after="0" w:line="240" w:lineRule="auto"/>
              <w:ind w:left="107"/>
              <w:jc w:val="both"/>
              <w:rPr>
                <w:rFonts w:asciiTheme="majorBidi" w:eastAsia="Times New Roman" w:hAnsiTheme="majorBidi" w:cstheme="majorBidi"/>
                <w:b/>
                <w:kern w:val="0"/>
                <w:sz w:val="24"/>
                <w14:ligatures w14:val="none"/>
              </w:rPr>
            </w:pPr>
            <w:r w:rsidRPr="009522BC">
              <w:rPr>
                <w:rFonts w:asciiTheme="majorBidi" w:eastAsia="Times New Roman" w:hAnsiTheme="majorBidi" w:cstheme="majorBidi"/>
                <w:b/>
                <w:kern w:val="0"/>
                <w:sz w:val="24"/>
                <w14:ligatures w14:val="none"/>
              </w:rPr>
              <w:t>Performans</w:t>
            </w:r>
            <w:r w:rsidRPr="009522BC">
              <w:rPr>
                <w:rFonts w:asciiTheme="majorBidi" w:eastAsia="Times New Roman" w:hAnsiTheme="majorBidi" w:cstheme="majorBidi"/>
                <w:b/>
                <w:spacing w:val="-4"/>
                <w:kern w:val="0"/>
                <w:sz w:val="24"/>
                <w14:ligatures w14:val="none"/>
              </w:rPr>
              <w:t xml:space="preserve"> </w:t>
            </w:r>
            <w:r w:rsidRPr="009522BC">
              <w:rPr>
                <w:rFonts w:asciiTheme="majorBidi" w:eastAsia="Times New Roman" w:hAnsiTheme="majorBidi" w:cstheme="majorBidi"/>
                <w:b/>
                <w:kern w:val="0"/>
                <w:sz w:val="24"/>
                <w14:ligatures w14:val="none"/>
              </w:rPr>
              <w:t>Göstergeleri</w:t>
            </w:r>
          </w:p>
        </w:tc>
        <w:tc>
          <w:tcPr>
            <w:tcW w:w="1280" w:type="dxa"/>
            <w:gridSpan w:val="2"/>
          </w:tcPr>
          <w:p w14:paraId="21089FCB" w14:textId="77777777" w:rsidR="007000C4" w:rsidRPr="00C56F2A" w:rsidRDefault="007000C4" w:rsidP="0008122D">
            <w:pPr>
              <w:widowControl w:val="0"/>
              <w:autoSpaceDE w:val="0"/>
              <w:autoSpaceDN w:val="0"/>
              <w:spacing w:after="0" w:line="253"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385" w:type="dxa"/>
            <w:gridSpan w:val="2"/>
          </w:tcPr>
          <w:p w14:paraId="62E6E538" w14:textId="77777777" w:rsidR="007000C4" w:rsidRPr="00C56F2A" w:rsidRDefault="007000C4" w:rsidP="0008122D">
            <w:pPr>
              <w:widowControl w:val="0"/>
              <w:autoSpaceDE w:val="0"/>
              <w:autoSpaceDN w:val="0"/>
              <w:spacing w:after="0" w:line="253" w:lineRule="exact"/>
              <w:ind w:left="4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1329" w:type="dxa"/>
            <w:gridSpan w:val="2"/>
          </w:tcPr>
          <w:p w14:paraId="4EF47135" w14:textId="77777777" w:rsidR="007000C4" w:rsidRPr="00C56F2A" w:rsidRDefault="007000C4" w:rsidP="0008122D">
            <w:pPr>
              <w:widowControl w:val="0"/>
              <w:autoSpaceDE w:val="0"/>
              <w:autoSpaceDN w:val="0"/>
              <w:spacing w:after="0" w:line="253" w:lineRule="exact"/>
              <w:ind w:left="42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1419" w:type="dxa"/>
            <w:gridSpan w:val="2"/>
          </w:tcPr>
          <w:p w14:paraId="12A7CC42" w14:textId="77777777" w:rsidR="007000C4" w:rsidRPr="00C56F2A" w:rsidRDefault="007000C4" w:rsidP="0008122D">
            <w:pPr>
              <w:widowControl w:val="0"/>
              <w:autoSpaceDE w:val="0"/>
              <w:autoSpaceDN w:val="0"/>
              <w:spacing w:after="0" w:line="253" w:lineRule="exact"/>
              <w:ind w:left="470"/>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416" w:type="dxa"/>
            <w:gridSpan w:val="2"/>
          </w:tcPr>
          <w:p w14:paraId="4A53B6D3" w14:textId="77777777" w:rsidR="007000C4" w:rsidRPr="00C56F2A" w:rsidRDefault="007000C4" w:rsidP="0008122D">
            <w:pPr>
              <w:widowControl w:val="0"/>
              <w:autoSpaceDE w:val="0"/>
              <w:autoSpaceDN w:val="0"/>
              <w:spacing w:after="0" w:line="253" w:lineRule="exact"/>
              <w:ind w:left="46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7000C4" w:rsidRPr="00C56F2A" w14:paraId="28912C9C" w14:textId="77777777" w:rsidTr="0008122D">
        <w:trPr>
          <w:trHeight w:val="270"/>
        </w:trPr>
        <w:tc>
          <w:tcPr>
            <w:tcW w:w="3209" w:type="dxa"/>
            <w:vMerge/>
            <w:tcBorders>
              <w:top w:val="nil"/>
              <w:bottom w:val="single" w:sz="6" w:space="0" w:color="000000"/>
            </w:tcBorders>
          </w:tcPr>
          <w:p w14:paraId="06F5B409" w14:textId="77777777" w:rsidR="007000C4" w:rsidRPr="009522BC" w:rsidRDefault="007000C4" w:rsidP="0008122D">
            <w:pPr>
              <w:widowControl w:val="0"/>
              <w:autoSpaceDE w:val="0"/>
              <w:autoSpaceDN w:val="0"/>
              <w:spacing w:after="0" w:line="240" w:lineRule="auto"/>
              <w:jc w:val="both"/>
              <w:rPr>
                <w:rFonts w:asciiTheme="majorBidi" w:eastAsia="Times New Roman" w:hAnsiTheme="majorBidi" w:cstheme="majorBidi"/>
                <w:kern w:val="0"/>
                <w:sz w:val="2"/>
                <w:szCs w:val="2"/>
                <w14:ligatures w14:val="none"/>
              </w:rPr>
            </w:pPr>
          </w:p>
        </w:tc>
        <w:tc>
          <w:tcPr>
            <w:tcW w:w="639" w:type="dxa"/>
            <w:tcBorders>
              <w:bottom w:val="single" w:sz="6" w:space="0" w:color="000000"/>
            </w:tcBorders>
          </w:tcPr>
          <w:p w14:paraId="1B0875FE" w14:textId="77777777" w:rsidR="007000C4" w:rsidRPr="00C56F2A" w:rsidRDefault="007000C4" w:rsidP="0008122D">
            <w:pPr>
              <w:widowControl w:val="0"/>
              <w:autoSpaceDE w:val="0"/>
              <w:autoSpaceDN w:val="0"/>
              <w:spacing w:after="0" w:line="251" w:lineRule="exact"/>
              <w:ind w:left="22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41" w:type="dxa"/>
            <w:tcBorders>
              <w:bottom w:val="single" w:sz="6" w:space="0" w:color="000000"/>
            </w:tcBorders>
          </w:tcPr>
          <w:p w14:paraId="2EA35802" w14:textId="77777777" w:rsidR="007000C4" w:rsidRPr="00C56F2A" w:rsidRDefault="007000C4" w:rsidP="0008122D">
            <w:pPr>
              <w:widowControl w:val="0"/>
              <w:autoSpaceDE w:val="0"/>
              <w:autoSpaceDN w:val="0"/>
              <w:spacing w:after="0" w:line="251" w:lineRule="exact"/>
              <w:ind w:left="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1" w:type="dxa"/>
            <w:tcBorders>
              <w:bottom w:val="single" w:sz="6" w:space="0" w:color="000000"/>
            </w:tcBorders>
          </w:tcPr>
          <w:p w14:paraId="4B740A2F" w14:textId="77777777" w:rsidR="007000C4" w:rsidRPr="00C56F2A" w:rsidRDefault="007000C4" w:rsidP="0008122D">
            <w:pPr>
              <w:widowControl w:val="0"/>
              <w:autoSpaceDE w:val="0"/>
              <w:autoSpaceDN w:val="0"/>
              <w:spacing w:after="0" w:line="251" w:lineRule="exact"/>
              <w:ind w:left="22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44" w:type="dxa"/>
            <w:tcBorders>
              <w:bottom w:val="single" w:sz="6" w:space="0" w:color="000000"/>
            </w:tcBorders>
          </w:tcPr>
          <w:p w14:paraId="3DB79586" w14:textId="77777777" w:rsidR="007000C4" w:rsidRPr="00C56F2A" w:rsidRDefault="007000C4" w:rsidP="0008122D">
            <w:pPr>
              <w:widowControl w:val="0"/>
              <w:autoSpaceDE w:val="0"/>
              <w:autoSpaceDN w:val="0"/>
              <w:spacing w:after="0" w:line="251" w:lineRule="exact"/>
              <w:ind w:left="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3" w:type="dxa"/>
            <w:tcBorders>
              <w:bottom w:val="single" w:sz="6" w:space="0" w:color="000000"/>
            </w:tcBorders>
          </w:tcPr>
          <w:p w14:paraId="46F01776" w14:textId="77777777" w:rsidR="007000C4" w:rsidRPr="00C56F2A" w:rsidRDefault="007000C4" w:rsidP="0008122D">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86" w:type="dxa"/>
            <w:tcBorders>
              <w:bottom w:val="single" w:sz="6" w:space="0" w:color="000000"/>
            </w:tcBorders>
          </w:tcPr>
          <w:p w14:paraId="03C0E549" w14:textId="77777777" w:rsidR="007000C4" w:rsidRPr="00C56F2A" w:rsidRDefault="007000C4" w:rsidP="0008122D">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11" w:type="dxa"/>
            <w:tcBorders>
              <w:bottom w:val="single" w:sz="6" w:space="0" w:color="000000"/>
            </w:tcBorders>
          </w:tcPr>
          <w:p w14:paraId="1A28C5B6" w14:textId="77777777" w:rsidR="007000C4" w:rsidRPr="00C56F2A" w:rsidRDefault="007000C4" w:rsidP="0008122D">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2935A6B1" w14:textId="77777777" w:rsidR="007000C4" w:rsidRPr="00C56F2A" w:rsidRDefault="007000C4" w:rsidP="0008122D">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08" w:type="dxa"/>
            <w:tcBorders>
              <w:bottom w:val="single" w:sz="6" w:space="0" w:color="000000"/>
            </w:tcBorders>
          </w:tcPr>
          <w:p w14:paraId="0A48AA66" w14:textId="77777777" w:rsidR="007000C4" w:rsidRPr="00C56F2A" w:rsidRDefault="007000C4" w:rsidP="0008122D">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20BDB338" w14:textId="77777777" w:rsidR="007000C4" w:rsidRPr="00C56F2A" w:rsidRDefault="007000C4" w:rsidP="0008122D">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7000C4" w:rsidRPr="00C56F2A" w14:paraId="702EA7FE" w14:textId="77777777" w:rsidTr="0008122D">
        <w:trPr>
          <w:trHeight w:val="549"/>
        </w:trPr>
        <w:tc>
          <w:tcPr>
            <w:tcW w:w="3209" w:type="dxa"/>
            <w:tcBorders>
              <w:top w:val="single" w:sz="6" w:space="0" w:color="000000"/>
            </w:tcBorders>
          </w:tcPr>
          <w:p w14:paraId="6469182A" w14:textId="77777777" w:rsidR="007000C4" w:rsidRPr="009522BC" w:rsidRDefault="007000C4" w:rsidP="0008122D">
            <w:pPr>
              <w:widowControl w:val="0"/>
              <w:tabs>
                <w:tab w:val="left" w:pos="1273"/>
                <w:tab w:val="left" w:pos="2643"/>
              </w:tabs>
              <w:autoSpaceDE w:val="0"/>
              <w:autoSpaceDN w:val="0"/>
              <w:spacing w:after="0" w:line="276" w:lineRule="exact"/>
              <w:ind w:left="107" w:right="100"/>
              <w:jc w:val="both"/>
              <w:rPr>
                <w:rFonts w:asciiTheme="majorBidi" w:eastAsia="Times New Roman" w:hAnsiTheme="majorBidi" w:cstheme="majorBidi"/>
                <w:kern w:val="0"/>
                <w:sz w:val="24"/>
                <w14:ligatures w14:val="none"/>
              </w:rPr>
            </w:pPr>
            <w:r w:rsidRPr="009522BC">
              <w:rPr>
                <w:rFonts w:asciiTheme="majorBidi" w:hAnsiTheme="majorBidi" w:cstheme="majorBidi"/>
                <w:sz w:val="24"/>
                <w:szCs w:val="24"/>
              </w:rPr>
              <w:t>Tamamlanan doktora tez sayısı</w:t>
            </w:r>
          </w:p>
        </w:tc>
        <w:tc>
          <w:tcPr>
            <w:tcW w:w="639" w:type="dxa"/>
            <w:tcBorders>
              <w:top w:val="single" w:sz="6" w:space="0" w:color="000000"/>
            </w:tcBorders>
            <w:vAlign w:val="center"/>
          </w:tcPr>
          <w:p w14:paraId="2ED0E5A4" w14:textId="77777777" w:rsidR="007000C4" w:rsidRPr="00C56F2A" w:rsidRDefault="007000C4" w:rsidP="0008122D">
            <w:pPr>
              <w:widowControl w:val="0"/>
              <w:autoSpaceDE w:val="0"/>
              <w:autoSpaceDN w:val="0"/>
              <w:spacing w:before="136" w:after="0" w:line="240" w:lineRule="auto"/>
              <w:ind w:left="256"/>
              <w:jc w:val="both"/>
              <w:rPr>
                <w:rFonts w:ascii="Times New Roman" w:eastAsia="Times New Roman" w:hAnsi="Times New Roman" w:cs="Arial"/>
                <w:kern w:val="0"/>
                <w:sz w:val="24"/>
                <w14:ligatures w14:val="none"/>
              </w:rPr>
            </w:pPr>
            <w:r>
              <w:rPr>
                <w:sz w:val="24"/>
                <w:szCs w:val="24"/>
              </w:rPr>
              <w:t>1</w:t>
            </w:r>
          </w:p>
        </w:tc>
        <w:tc>
          <w:tcPr>
            <w:tcW w:w="641" w:type="dxa"/>
            <w:tcBorders>
              <w:top w:val="single" w:sz="6" w:space="0" w:color="000000"/>
            </w:tcBorders>
            <w:vAlign w:val="center"/>
          </w:tcPr>
          <w:p w14:paraId="1F068B03"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r w:rsidRPr="0099585D">
              <w:rPr>
                <w:sz w:val="24"/>
                <w:szCs w:val="24"/>
              </w:rPr>
              <w:t>1</w:t>
            </w:r>
          </w:p>
        </w:tc>
        <w:tc>
          <w:tcPr>
            <w:tcW w:w="641" w:type="dxa"/>
            <w:tcBorders>
              <w:top w:val="single" w:sz="6" w:space="0" w:color="000000"/>
            </w:tcBorders>
            <w:vAlign w:val="center"/>
          </w:tcPr>
          <w:p w14:paraId="590FC20A" w14:textId="77777777" w:rsidR="007000C4" w:rsidRPr="00C56F2A" w:rsidRDefault="007000C4" w:rsidP="0008122D">
            <w:pPr>
              <w:widowControl w:val="0"/>
              <w:autoSpaceDE w:val="0"/>
              <w:autoSpaceDN w:val="0"/>
              <w:spacing w:before="136" w:after="0" w:line="240" w:lineRule="auto"/>
              <w:ind w:left="257"/>
              <w:jc w:val="both"/>
              <w:rPr>
                <w:rFonts w:ascii="Times New Roman" w:eastAsia="Times New Roman" w:hAnsi="Times New Roman" w:cs="Arial"/>
                <w:kern w:val="0"/>
                <w:sz w:val="24"/>
                <w14:ligatures w14:val="none"/>
              </w:rPr>
            </w:pPr>
            <w:r w:rsidRPr="0099585D">
              <w:rPr>
                <w:sz w:val="24"/>
                <w:szCs w:val="24"/>
              </w:rPr>
              <w:t>2</w:t>
            </w:r>
          </w:p>
        </w:tc>
        <w:tc>
          <w:tcPr>
            <w:tcW w:w="744" w:type="dxa"/>
            <w:tcBorders>
              <w:top w:val="single" w:sz="6" w:space="0" w:color="000000"/>
            </w:tcBorders>
            <w:vAlign w:val="center"/>
          </w:tcPr>
          <w:p w14:paraId="4C93CC34"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2</w:t>
            </w:r>
          </w:p>
        </w:tc>
        <w:tc>
          <w:tcPr>
            <w:tcW w:w="643" w:type="dxa"/>
            <w:tcBorders>
              <w:top w:val="single" w:sz="6" w:space="0" w:color="000000"/>
            </w:tcBorders>
            <w:vAlign w:val="center"/>
          </w:tcPr>
          <w:p w14:paraId="5D0DC72C" w14:textId="77777777" w:rsidR="007000C4" w:rsidRPr="00C56F2A" w:rsidRDefault="007000C4" w:rsidP="0008122D">
            <w:pPr>
              <w:widowControl w:val="0"/>
              <w:autoSpaceDE w:val="0"/>
              <w:autoSpaceDN w:val="0"/>
              <w:spacing w:before="136" w:after="0" w:line="240" w:lineRule="auto"/>
              <w:ind w:left="7"/>
              <w:jc w:val="both"/>
              <w:rPr>
                <w:rFonts w:ascii="Times New Roman" w:eastAsia="Times New Roman" w:hAnsi="Times New Roman" w:cs="Arial"/>
                <w:kern w:val="0"/>
                <w:sz w:val="24"/>
                <w14:ligatures w14:val="none"/>
              </w:rPr>
            </w:pPr>
            <w:r w:rsidRPr="0099585D">
              <w:rPr>
                <w:sz w:val="24"/>
                <w:szCs w:val="24"/>
              </w:rPr>
              <w:t>1</w:t>
            </w:r>
          </w:p>
        </w:tc>
        <w:tc>
          <w:tcPr>
            <w:tcW w:w="686" w:type="dxa"/>
            <w:tcBorders>
              <w:top w:val="single" w:sz="6" w:space="0" w:color="000000"/>
            </w:tcBorders>
            <w:vAlign w:val="center"/>
          </w:tcPr>
          <w:p w14:paraId="749ECC7B"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Borders>
              <w:top w:val="single" w:sz="6" w:space="0" w:color="000000"/>
            </w:tcBorders>
            <w:vAlign w:val="center"/>
          </w:tcPr>
          <w:p w14:paraId="0B17814C" w14:textId="77777777" w:rsidR="007000C4" w:rsidRPr="00C56F2A" w:rsidRDefault="007000C4" w:rsidP="0008122D">
            <w:pPr>
              <w:widowControl w:val="0"/>
              <w:autoSpaceDE w:val="0"/>
              <w:autoSpaceDN w:val="0"/>
              <w:spacing w:before="136" w:after="0" w:line="240" w:lineRule="auto"/>
              <w:ind w:left="8"/>
              <w:jc w:val="both"/>
              <w:rPr>
                <w:rFonts w:ascii="Times New Roman" w:eastAsia="Times New Roman" w:hAnsi="Times New Roman" w:cs="Arial"/>
                <w:kern w:val="0"/>
                <w:sz w:val="24"/>
                <w14:ligatures w14:val="none"/>
              </w:rPr>
            </w:pPr>
            <w:r w:rsidRPr="0099585D">
              <w:rPr>
                <w:sz w:val="24"/>
                <w:szCs w:val="24"/>
              </w:rPr>
              <w:t>2</w:t>
            </w:r>
          </w:p>
        </w:tc>
        <w:tc>
          <w:tcPr>
            <w:tcW w:w="708" w:type="dxa"/>
            <w:tcBorders>
              <w:top w:val="single" w:sz="6" w:space="0" w:color="000000"/>
            </w:tcBorders>
            <w:vAlign w:val="center"/>
          </w:tcPr>
          <w:p w14:paraId="1FC808C5"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Borders>
              <w:top w:val="single" w:sz="6" w:space="0" w:color="000000"/>
            </w:tcBorders>
            <w:vAlign w:val="center"/>
          </w:tcPr>
          <w:p w14:paraId="58051DF8" w14:textId="77777777" w:rsidR="007000C4" w:rsidRPr="00C56F2A" w:rsidRDefault="007000C4" w:rsidP="0008122D">
            <w:pPr>
              <w:widowControl w:val="0"/>
              <w:autoSpaceDE w:val="0"/>
              <w:autoSpaceDN w:val="0"/>
              <w:spacing w:before="136" w:after="0" w:line="240" w:lineRule="auto"/>
              <w:ind w:left="6"/>
              <w:jc w:val="both"/>
              <w:rPr>
                <w:rFonts w:ascii="Times New Roman" w:eastAsia="Times New Roman" w:hAnsi="Times New Roman" w:cs="Arial"/>
                <w:kern w:val="0"/>
                <w:sz w:val="24"/>
                <w14:ligatures w14:val="none"/>
              </w:rPr>
            </w:pPr>
            <w:r w:rsidRPr="0099585D">
              <w:rPr>
                <w:sz w:val="24"/>
                <w:szCs w:val="24"/>
              </w:rPr>
              <w:t>2</w:t>
            </w:r>
          </w:p>
        </w:tc>
        <w:tc>
          <w:tcPr>
            <w:tcW w:w="708" w:type="dxa"/>
            <w:tcBorders>
              <w:top w:val="single" w:sz="6" w:space="0" w:color="000000"/>
            </w:tcBorders>
            <w:vAlign w:val="center"/>
          </w:tcPr>
          <w:p w14:paraId="575B99F8"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7000C4" w:rsidRPr="00C56F2A" w14:paraId="282C9BAE" w14:textId="77777777" w:rsidTr="0008122D">
        <w:trPr>
          <w:trHeight w:val="824"/>
        </w:trPr>
        <w:tc>
          <w:tcPr>
            <w:tcW w:w="3209" w:type="dxa"/>
          </w:tcPr>
          <w:p w14:paraId="48EFA080" w14:textId="77777777" w:rsidR="007000C4" w:rsidRPr="009522BC" w:rsidRDefault="007000C4" w:rsidP="0008122D">
            <w:pPr>
              <w:widowControl w:val="0"/>
              <w:autoSpaceDE w:val="0"/>
              <w:autoSpaceDN w:val="0"/>
              <w:spacing w:after="0" w:line="257" w:lineRule="exact"/>
              <w:ind w:left="107"/>
              <w:jc w:val="both"/>
              <w:rPr>
                <w:rFonts w:asciiTheme="majorBidi" w:eastAsia="Times New Roman" w:hAnsiTheme="majorBidi" w:cstheme="majorBidi"/>
                <w:kern w:val="0"/>
                <w:sz w:val="24"/>
                <w14:ligatures w14:val="none"/>
              </w:rPr>
            </w:pPr>
            <w:r w:rsidRPr="009522BC">
              <w:rPr>
                <w:rFonts w:asciiTheme="majorBidi" w:hAnsiTheme="majorBidi" w:cstheme="majorBidi"/>
                <w:sz w:val="24"/>
                <w:szCs w:val="24"/>
              </w:rPr>
              <w:t>Tezden üretilen yayın sayısı</w:t>
            </w:r>
          </w:p>
        </w:tc>
        <w:tc>
          <w:tcPr>
            <w:tcW w:w="639" w:type="dxa"/>
            <w:vAlign w:val="center"/>
          </w:tcPr>
          <w:p w14:paraId="2BED37A0" w14:textId="77777777" w:rsidR="007000C4" w:rsidRPr="00C56F2A" w:rsidRDefault="007000C4" w:rsidP="0008122D">
            <w:pPr>
              <w:widowControl w:val="0"/>
              <w:autoSpaceDE w:val="0"/>
              <w:autoSpaceDN w:val="0"/>
              <w:spacing w:before="1" w:after="0" w:line="240" w:lineRule="auto"/>
              <w:ind w:left="256"/>
              <w:jc w:val="both"/>
              <w:rPr>
                <w:rFonts w:ascii="Times New Roman" w:eastAsia="Times New Roman" w:hAnsi="Times New Roman" w:cs="Arial"/>
                <w:kern w:val="0"/>
                <w:sz w:val="24"/>
                <w14:ligatures w14:val="none"/>
              </w:rPr>
            </w:pPr>
            <w:r>
              <w:rPr>
                <w:sz w:val="24"/>
                <w:szCs w:val="24"/>
              </w:rPr>
              <w:t>1</w:t>
            </w:r>
          </w:p>
        </w:tc>
        <w:tc>
          <w:tcPr>
            <w:tcW w:w="641" w:type="dxa"/>
            <w:vAlign w:val="center"/>
          </w:tcPr>
          <w:p w14:paraId="467BC8E5"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r w:rsidRPr="0099585D">
              <w:rPr>
                <w:sz w:val="24"/>
                <w:szCs w:val="24"/>
              </w:rPr>
              <w:t>1</w:t>
            </w:r>
          </w:p>
        </w:tc>
        <w:tc>
          <w:tcPr>
            <w:tcW w:w="641" w:type="dxa"/>
            <w:vAlign w:val="center"/>
          </w:tcPr>
          <w:p w14:paraId="15D6D5E1" w14:textId="77777777" w:rsidR="007000C4" w:rsidRPr="00C56F2A" w:rsidRDefault="007000C4" w:rsidP="0008122D">
            <w:pPr>
              <w:widowControl w:val="0"/>
              <w:autoSpaceDE w:val="0"/>
              <w:autoSpaceDN w:val="0"/>
              <w:spacing w:before="1" w:after="0" w:line="240" w:lineRule="auto"/>
              <w:ind w:left="257"/>
              <w:jc w:val="both"/>
              <w:rPr>
                <w:rFonts w:ascii="Times New Roman" w:eastAsia="Times New Roman" w:hAnsi="Times New Roman" w:cs="Arial"/>
                <w:kern w:val="0"/>
                <w:sz w:val="24"/>
                <w14:ligatures w14:val="none"/>
              </w:rPr>
            </w:pPr>
            <w:r w:rsidRPr="0099585D">
              <w:rPr>
                <w:sz w:val="24"/>
                <w:szCs w:val="24"/>
              </w:rPr>
              <w:t>2</w:t>
            </w:r>
          </w:p>
        </w:tc>
        <w:tc>
          <w:tcPr>
            <w:tcW w:w="744" w:type="dxa"/>
            <w:vAlign w:val="center"/>
          </w:tcPr>
          <w:p w14:paraId="6DD7E6A9"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2</w:t>
            </w:r>
          </w:p>
        </w:tc>
        <w:tc>
          <w:tcPr>
            <w:tcW w:w="643" w:type="dxa"/>
            <w:vAlign w:val="center"/>
          </w:tcPr>
          <w:p w14:paraId="0EB8DE01" w14:textId="77777777" w:rsidR="007000C4" w:rsidRPr="00C56F2A" w:rsidRDefault="007000C4" w:rsidP="0008122D">
            <w:pPr>
              <w:widowControl w:val="0"/>
              <w:autoSpaceDE w:val="0"/>
              <w:autoSpaceDN w:val="0"/>
              <w:spacing w:before="1" w:after="0" w:line="240" w:lineRule="auto"/>
              <w:ind w:left="7"/>
              <w:jc w:val="both"/>
              <w:rPr>
                <w:rFonts w:ascii="Times New Roman" w:eastAsia="Times New Roman" w:hAnsi="Times New Roman" w:cs="Arial"/>
                <w:kern w:val="0"/>
                <w:sz w:val="24"/>
                <w14:ligatures w14:val="none"/>
              </w:rPr>
            </w:pPr>
            <w:r w:rsidRPr="0099585D">
              <w:rPr>
                <w:sz w:val="24"/>
                <w:szCs w:val="24"/>
              </w:rPr>
              <w:t>1</w:t>
            </w:r>
          </w:p>
        </w:tc>
        <w:tc>
          <w:tcPr>
            <w:tcW w:w="686" w:type="dxa"/>
            <w:vAlign w:val="center"/>
          </w:tcPr>
          <w:p w14:paraId="65298289"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vAlign w:val="center"/>
          </w:tcPr>
          <w:p w14:paraId="0481A820" w14:textId="77777777" w:rsidR="007000C4" w:rsidRPr="00C56F2A" w:rsidRDefault="007000C4" w:rsidP="0008122D">
            <w:pPr>
              <w:widowControl w:val="0"/>
              <w:autoSpaceDE w:val="0"/>
              <w:autoSpaceDN w:val="0"/>
              <w:spacing w:before="1" w:after="0" w:line="240" w:lineRule="auto"/>
              <w:ind w:left="8"/>
              <w:jc w:val="both"/>
              <w:rPr>
                <w:rFonts w:ascii="Times New Roman" w:eastAsia="Times New Roman" w:hAnsi="Times New Roman" w:cs="Arial"/>
                <w:kern w:val="0"/>
                <w:sz w:val="24"/>
                <w14:ligatures w14:val="none"/>
              </w:rPr>
            </w:pPr>
            <w:r w:rsidRPr="0099585D">
              <w:rPr>
                <w:sz w:val="24"/>
                <w:szCs w:val="24"/>
              </w:rPr>
              <w:t>2</w:t>
            </w:r>
          </w:p>
        </w:tc>
        <w:tc>
          <w:tcPr>
            <w:tcW w:w="708" w:type="dxa"/>
            <w:vAlign w:val="center"/>
          </w:tcPr>
          <w:p w14:paraId="7D1B8BBE"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vAlign w:val="center"/>
          </w:tcPr>
          <w:p w14:paraId="24CCFA1A" w14:textId="77777777" w:rsidR="007000C4" w:rsidRPr="00C56F2A" w:rsidRDefault="007000C4" w:rsidP="0008122D">
            <w:pPr>
              <w:widowControl w:val="0"/>
              <w:autoSpaceDE w:val="0"/>
              <w:autoSpaceDN w:val="0"/>
              <w:spacing w:before="1" w:after="0" w:line="240" w:lineRule="auto"/>
              <w:ind w:left="6"/>
              <w:jc w:val="both"/>
              <w:rPr>
                <w:rFonts w:ascii="Times New Roman" w:eastAsia="Times New Roman" w:hAnsi="Times New Roman" w:cs="Arial"/>
                <w:kern w:val="0"/>
                <w:sz w:val="24"/>
                <w14:ligatures w14:val="none"/>
              </w:rPr>
            </w:pPr>
            <w:r w:rsidRPr="0099585D">
              <w:rPr>
                <w:sz w:val="24"/>
                <w:szCs w:val="24"/>
              </w:rPr>
              <w:t>2</w:t>
            </w:r>
          </w:p>
        </w:tc>
        <w:tc>
          <w:tcPr>
            <w:tcW w:w="708" w:type="dxa"/>
            <w:vAlign w:val="center"/>
          </w:tcPr>
          <w:p w14:paraId="66A37782" w14:textId="77777777" w:rsidR="007000C4" w:rsidRPr="00C56F2A" w:rsidRDefault="007000C4" w:rsidP="0008122D">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7000C4" w:rsidRPr="00C56F2A" w14:paraId="137660E5" w14:textId="77777777" w:rsidTr="0008122D">
        <w:trPr>
          <w:trHeight w:val="316"/>
        </w:trPr>
        <w:tc>
          <w:tcPr>
            <w:tcW w:w="3209" w:type="dxa"/>
            <w:vAlign w:val="center"/>
          </w:tcPr>
          <w:p w14:paraId="525D39CD" w14:textId="77777777" w:rsidR="007000C4" w:rsidRPr="00ED75B0" w:rsidRDefault="007000C4" w:rsidP="0008122D">
            <w:pPr>
              <w:widowControl w:val="0"/>
              <w:autoSpaceDE w:val="0"/>
              <w:autoSpaceDN w:val="0"/>
              <w:spacing w:after="0" w:line="275" w:lineRule="exact"/>
              <w:ind w:left="107"/>
              <w:jc w:val="both"/>
              <w:rPr>
                <w:rFonts w:asciiTheme="majorBidi" w:eastAsia="Times New Roman" w:hAnsiTheme="majorBidi" w:cstheme="majorBidi"/>
                <w:kern w:val="0"/>
                <w:sz w:val="24"/>
                <w14:ligatures w14:val="none"/>
              </w:rPr>
            </w:pPr>
            <w:r w:rsidRPr="00ED75B0">
              <w:rPr>
                <w:rFonts w:asciiTheme="majorBidi" w:hAnsiTheme="majorBidi" w:cstheme="majorBidi"/>
                <w:sz w:val="24"/>
                <w:szCs w:val="24"/>
              </w:rPr>
              <w:t>Değerlendirme</w:t>
            </w:r>
          </w:p>
        </w:tc>
        <w:tc>
          <w:tcPr>
            <w:tcW w:w="6829" w:type="dxa"/>
            <w:gridSpan w:val="10"/>
          </w:tcPr>
          <w:p w14:paraId="5D7F5446" w14:textId="77777777" w:rsidR="007000C4" w:rsidRPr="0076342B" w:rsidRDefault="007000C4" w:rsidP="0008122D">
            <w:pPr>
              <w:widowControl w:val="0"/>
              <w:autoSpaceDE w:val="0"/>
              <w:autoSpaceDN w:val="0"/>
              <w:spacing w:after="0" w:line="240" w:lineRule="auto"/>
              <w:jc w:val="both"/>
              <w:rPr>
                <w:rFonts w:asciiTheme="majorBidi" w:hAnsiTheme="majorBidi" w:cstheme="majorBidi"/>
                <w:b/>
                <w:bCs/>
                <w:sz w:val="24"/>
                <w:szCs w:val="24"/>
              </w:rPr>
            </w:pPr>
            <w:r w:rsidRPr="0076342B">
              <w:rPr>
                <w:rFonts w:asciiTheme="majorBidi" w:hAnsiTheme="majorBidi" w:cstheme="majorBidi"/>
                <w:b/>
                <w:bCs/>
                <w:sz w:val="24"/>
                <w:szCs w:val="24"/>
              </w:rPr>
              <w:t>Stratejik Hedef: Akademik beceri, nitelik ve etkin araştırma yapabilme kapasitesini artırmak</w:t>
            </w:r>
          </w:p>
          <w:p w14:paraId="78D0E35C"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Bu stratejik hedef doğrultusunda belirlenen performans göstergeleri (tamamlanan doktora tez sayısı ve tezlerden üretilen yayın sayısı), Maliye Anabilim Dalında yürütülen lisansüstü araştırma faaliyetlerinin çıktı odaklı ve ölçülebilir biçimde izlenmesine imkân sağlamaktadır.</w:t>
            </w:r>
          </w:p>
          <w:p w14:paraId="00AF29C6"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2025 yılında iki öğrencinin doktora programını başarıyla tamamlaması ve bu tezlerden uluslararası nitelikte iki makalenin üretilmiş olması, akademik beceri ve etkin araştırma yapabilme kapasitesinin geliştiğini göstermektedir. Tez çalışmalarının yayın üretimiyle sonuçlanması, hedefin yalnızca nicel değil aynı zamanda nitel boyutuna da katkı sağlandığını ortaya koymaktadır. Bu çerçevede stratejik hedefe ulaşma yönünde önemli ilerleme kaydedildiği değerlendirilmektedir.</w:t>
            </w:r>
          </w:p>
          <w:p w14:paraId="5AE25364"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p>
          <w:p w14:paraId="37A60197" w14:textId="77777777" w:rsidR="007000C4" w:rsidRPr="0076342B" w:rsidRDefault="007000C4" w:rsidP="0008122D">
            <w:pPr>
              <w:widowControl w:val="0"/>
              <w:autoSpaceDE w:val="0"/>
              <w:autoSpaceDN w:val="0"/>
              <w:spacing w:after="0" w:line="240" w:lineRule="auto"/>
              <w:jc w:val="both"/>
              <w:rPr>
                <w:rFonts w:asciiTheme="majorBidi" w:hAnsiTheme="majorBidi" w:cstheme="majorBidi"/>
                <w:b/>
                <w:bCs/>
                <w:sz w:val="24"/>
                <w:szCs w:val="24"/>
              </w:rPr>
            </w:pPr>
            <w:r w:rsidRPr="0076342B">
              <w:rPr>
                <w:rFonts w:asciiTheme="majorBidi" w:hAnsiTheme="majorBidi" w:cstheme="majorBidi"/>
                <w:b/>
                <w:bCs/>
                <w:sz w:val="24"/>
                <w:szCs w:val="24"/>
              </w:rPr>
              <w:t>Strateji 1.1.: Doktora tez çalışmalarını nitel ve nicel olarak artırmak</w:t>
            </w:r>
          </w:p>
          <w:p w14:paraId="7697D020"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Bu strateji kapsamında doktora tezlerinin sayısal artışı ve tezlerin akademik derinliği temel öncelik olarak belirlenmiştir. 2025 yılında iki öğrencinin doktora tezlerini tamamlaması, ilgili yıl için belirlenen hedeflerle uyumlu bir gerçekleşme düzeyine işaret etmektedir.</w:t>
            </w:r>
          </w:p>
          <w:p w14:paraId="39184666"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Doktora programından mezun olan öğrenci sayısındaki artış, programın sürdürülebilirliği ve araştırma kapasitesinin güçlenmesi açısından olumlu bir gelişme olarak değerlendirilmektedir. Bu sonuç, tez çalışmalarının hem nicel olarak artırılması hem de başarıyla tamamlanması bakımından Strateji 1.1’in hedeflerine ulaşıldığını göstermektedir.</w:t>
            </w:r>
          </w:p>
          <w:p w14:paraId="73518ABF"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p>
          <w:p w14:paraId="1A44BD78" w14:textId="77777777" w:rsidR="007000C4" w:rsidRPr="0076342B" w:rsidRDefault="007000C4" w:rsidP="0008122D">
            <w:pPr>
              <w:widowControl w:val="0"/>
              <w:autoSpaceDE w:val="0"/>
              <w:autoSpaceDN w:val="0"/>
              <w:spacing w:after="0" w:line="240" w:lineRule="auto"/>
              <w:jc w:val="both"/>
              <w:rPr>
                <w:rFonts w:asciiTheme="majorBidi" w:hAnsiTheme="majorBidi" w:cstheme="majorBidi"/>
                <w:b/>
                <w:bCs/>
                <w:sz w:val="24"/>
                <w:szCs w:val="24"/>
              </w:rPr>
            </w:pPr>
            <w:r w:rsidRPr="0076342B">
              <w:rPr>
                <w:rFonts w:asciiTheme="majorBidi" w:hAnsiTheme="majorBidi" w:cstheme="majorBidi"/>
                <w:b/>
                <w:bCs/>
                <w:sz w:val="24"/>
                <w:szCs w:val="24"/>
              </w:rPr>
              <w:t>Strateji 1.2.: Tezlerden üretilen ve çeşitli dergilerde yayınlanan çalışmaları teşvik etmek</w:t>
            </w:r>
          </w:p>
          <w:p w14:paraId="5A2576A4"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Strateji 1.2 doğrultusunda, doktora tezlerinin bilimsel yayına dönüştürülmesi önemli bir performans ölçütü olarak ele alınmıştır. 2025 yılında tamamlanan iki doktora tezinden uluslararası düzeyde iki makale üretilmiş olması, tez-yayın dönüşüm sürecinin etkin bir şekilde işlediğini ortaya koymaktadır.</w:t>
            </w:r>
          </w:p>
          <w:p w14:paraId="6A454772"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Söz konusu makalelerin yayın aşamasında olması, tez çalışmalarının bilimsel literatüre katkı sağlama potansiyelini güçlendirmekte ve yayın teşviklerinin somut çıktılar ürettiğini göstermektedir. Bu kapsamda, tezlerden yayın üretimini teşvik etmeye yönelik stratejinin başarıyla uygulandığı değerlendirilmektedir.</w:t>
            </w:r>
          </w:p>
          <w:p w14:paraId="7ED2C065"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p>
          <w:p w14:paraId="762BD6AD" w14:textId="77777777" w:rsidR="007000C4" w:rsidRPr="0076342B" w:rsidRDefault="007000C4" w:rsidP="0008122D">
            <w:pPr>
              <w:widowControl w:val="0"/>
              <w:autoSpaceDE w:val="0"/>
              <w:autoSpaceDN w:val="0"/>
              <w:spacing w:after="0" w:line="240" w:lineRule="auto"/>
              <w:jc w:val="both"/>
              <w:rPr>
                <w:rFonts w:asciiTheme="majorBidi" w:hAnsiTheme="majorBidi" w:cstheme="majorBidi"/>
                <w:b/>
                <w:bCs/>
                <w:sz w:val="24"/>
                <w:szCs w:val="24"/>
              </w:rPr>
            </w:pPr>
            <w:r w:rsidRPr="0076342B">
              <w:rPr>
                <w:rFonts w:asciiTheme="majorBidi" w:hAnsiTheme="majorBidi" w:cstheme="majorBidi"/>
                <w:b/>
                <w:bCs/>
                <w:sz w:val="24"/>
                <w:szCs w:val="24"/>
              </w:rPr>
              <w:t>Strateji 1.3.: Doktora tezlerinden üretilen yayınların kalitesini artırmak</w:t>
            </w:r>
          </w:p>
          <w:p w14:paraId="0AD7B1F2"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Bu strateji, tezlerden üretilen yayınların yalnızca sayısal olarak değil, nitelik bakımından da geliştirilmesini hedeflemektedir. 2025 yılında üretilen iki yayının uluslararası nitelikte dergilerde değerlendirme ve yayın sürecinde olması, yayın kalitesinin artırılmasına yönelik çabaların somut bir göstergesidir.</w:t>
            </w:r>
          </w:p>
          <w:p w14:paraId="0FD25793"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r w:rsidRPr="0076342B">
              <w:rPr>
                <w:rFonts w:asciiTheme="majorBidi" w:hAnsiTheme="majorBidi" w:cstheme="majorBidi"/>
                <w:sz w:val="24"/>
                <w:szCs w:val="24"/>
              </w:rPr>
              <w:t>Uluslararası yayın hedefi, akademik görünürlüğün ve bilimsel etki düzeyinin yükseltilmesine katkı sağlamaktadır. Bu bağlamda, doktora tezlerinden üretilen yayınların kalite odaklı bir yaklaşım ile ele alındığı ve Strateji 1.3 kapsamında belirlenen hedeflerle uyumlu ilerleme sağlandığı sonucuna ulaşılmaktadır.</w:t>
            </w:r>
          </w:p>
        </w:tc>
      </w:tr>
    </w:tbl>
    <w:p w14:paraId="3F6FF766" w14:textId="77777777" w:rsidR="007000C4" w:rsidRPr="00C56F2A" w:rsidRDefault="007000C4" w:rsidP="007000C4">
      <w:pPr>
        <w:widowControl w:val="0"/>
        <w:autoSpaceDE w:val="0"/>
        <w:autoSpaceDN w:val="0"/>
        <w:spacing w:after="0" w:line="240" w:lineRule="auto"/>
        <w:ind w:left="256"/>
        <w:jc w:val="both"/>
        <w:rPr>
          <w:rFonts w:ascii="Times New Roman" w:eastAsia="Times New Roman" w:hAnsi="Times New Roman" w:cs="Times New Roman"/>
          <w:kern w:val="0"/>
          <w:sz w:val="24"/>
          <w14:ligatures w14:val="none"/>
        </w:rPr>
      </w:pPr>
      <w:r w:rsidRPr="00C56F2A">
        <w:rPr>
          <w:rFonts w:ascii="Times New Roman" w:eastAsia="Times New Roman" w:hAnsi="Times New Roman" w:cs="Times New Roman"/>
          <w:b/>
          <w:kern w:val="0"/>
          <w:sz w:val="24"/>
          <w14:ligatures w14:val="none"/>
        </w:rPr>
        <w:t>H:</w:t>
      </w:r>
      <w:r w:rsidRPr="00C56F2A">
        <w:rPr>
          <w:rFonts w:ascii="Times New Roman" w:eastAsia="Times New Roman" w:hAnsi="Times New Roman" w:cs="Times New Roman"/>
          <w:b/>
          <w:spacing w:val="-3"/>
          <w:kern w:val="0"/>
          <w:sz w:val="24"/>
          <w14:ligatures w14:val="none"/>
        </w:rPr>
        <w:t xml:space="preserve"> </w:t>
      </w:r>
      <w:r w:rsidRPr="00C56F2A">
        <w:rPr>
          <w:rFonts w:ascii="Times New Roman" w:eastAsia="Times New Roman" w:hAnsi="Times New Roman" w:cs="Times New Roman"/>
          <w:kern w:val="0"/>
          <w:sz w:val="24"/>
          <w14:ligatures w14:val="none"/>
        </w:rPr>
        <w:t>Hedeflenen;</w:t>
      </w:r>
      <w:r w:rsidRPr="00C56F2A">
        <w:rPr>
          <w:rFonts w:ascii="Times New Roman" w:eastAsia="Times New Roman" w:hAnsi="Times New Roman" w:cs="Times New Roman"/>
          <w:spacing w:val="-1"/>
          <w:kern w:val="0"/>
          <w:sz w:val="24"/>
          <w14:ligatures w14:val="none"/>
        </w:rPr>
        <w:t xml:space="preserve"> </w:t>
      </w:r>
      <w:r w:rsidRPr="00C56F2A">
        <w:rPr>
          <w:rFonts w:ascii="Times New Roman" w:eastAsia="Times New Roman" w:hAnsi="Times New Roman" w:cs="Times New Roman"/>
          <w:b/>
          <w:kern w:val="0"/>
          <w:sz w:val="24"/>
          <w14:ligatures w14:val="none"/>
        </w:rPr>
        <w:t>G:</w:t>
      </w:r>
      <w:r w:rsidRPr="00C56F2A">
        <w:rPr>
          <w:rFonts w:ascii="Times New Roman" w:eastAsia="Times New Roman" w:hAnsi="Times New Roman" w:cs="Times New Roman"/>
          <w:b/>
          <w:spacing w:val="-3"/>
          <w:kern w:val="0"/>
          <w:sz w:val="24"/>
          <w14:ligatures w14:val="none"/>
        </w:rPr>
        <w:t xml:space="preserve"> </w:t>
      </w:r>
      <w:r w:rsidRPr="00C56F2A">
        <w:rPr>
          <w:rFonts w:ascii="Times New Roman" w:eastAsia="Times New Roman" w:hAnsi="Times New Roman" w:cs="Times New Roman"/>
          <w:kern w:val="0"/>
          <w:sz w:val="24"/>
          <w14:ligatures w14:val="none"/>
        </w:rPr>
        <w:t>Gerçekleşme</w:t>
      </w:r>
    </w:p>
    <w:p w14:paraId="4572E576" w14:textId="77777777" w:rsidR="007000C4" w:rsidRPr="00615D4E" w:rsidRDefault="007000C4" w:rsidP="007000C4">
      <w:pPr>
        <w:spacing w:after="0" w:line="240" w:lineRule="auto"/>
        <w:jc w:val="both"/>
        <w:rPr>
          <w:rFonts w:ascii="Times New Roman" w:hAnsi="Times New Roman"/>
          <w:b/>
          <w:bCs/>
          <w:kern w:val="0"/>
          <w:sz w:val="24"/>
          <w:szCs w:val="24"/>
          <w14:ligatures w14:val="none"/>
        </w:rPr>
      </w:pPr>
      <w:r w:rsidRPr="00615D4E">
        <w:rPr>
          <w:rFonts w:ascii="Times New Roman" w:hAnsi="Times New Roman"/>
          <w:b/>
          <w:bCs/>
          <w:kern w:val="0"/>
          <w:sz w:val="24"/>
          <w:szCs w:val="24"/>
          <w14:ligatures w14:val="none"/>
        </w:rPr>
        <w:t xml:space="preserve">STRATEJİK AMAÇ: EĞİTİM VE ÖĞRETİM FAALİYETLERİNİN KALİTESİNİ ARTIRMAK </w:t>
      </w:r>
    </w:p>
    <w:p w14:paraId="63D9BECD" w14:textId="77777777" w:rsidR="007000C4" w:rsidRPr="00615D4E" w:rsidRDefault="007000C4" w:rsidP="007000C4">
      <w:pPr>
        <w:spacing w:after="0" w:line="240" w:lineRule="auto"/>
        <w:jc w:val="both"/>
        <w:rPr>
          <w:rFonts w:ascii="Times New Roman" w:hAnsi="Times New Roman"/>
          <w:kern w:val="0"/>
          <w:sz w:val="24"/>
          <w:szCs w:val="24"/>
          <w14:ligatures w14:val="none"/>
        </w:rPr>
      </w:pPr>
      <w:r w:rsidRPr="00615D4E">
        <w:rPr>
          <w:rFonts w:ascii="Times New Roman" w:hAnsi="Times New Roman"/>
          <w:b/>
          <w:bCs/>
          <w:kern w:val="0"/>
          <w:sz w:val="24"/>
          <w:szCs w:val="24"/>
          <w14:ligatures w14:val="none"/>
        </w:rPr>
        <w:t>Stratejik Hedef:</w:t>
      </w:r>
      <w:r w:rsidRPr="00615D4E">
        <w:rPr>
          <w:rFonts w:ascii="Times New Roman" w:hAnsi="Times New Roman"/>
          <w:kern w:val="0"/>
          <w:sz w:val="24"/>
          <w:szCs w:val="24"/>
          <w14:ligatures w14:val="none"/>
        </w:rPr>
        <w:t xml:space="preserve"> Öğrencilerin öğrenme istek, kapasite ve memnuniyetlerini geliştirmek </w:t>
      </w:r>
    </w:p>
    <w:p w14:paraId="33799DA2" w14:textId="77777777" w:rsidR="007000C4" w:rsidRPr="00615D4E" w:rsidRDefault="007000C4" w:rsidP="007000C4">
      <w:pPr>
        <w:spacing w:after="0" w:line="240" w:lineRule="auto"/>
        <w:jc w:val="both"/>
        <w:rPr>
          <w:rFonts w:ascii="Times New Roman" w:hAnsi="Times New Roman"/>
          <w:kern w:val="0"/>
          <w:sz w:val="24"/>
          <w:szCs w:val="24"/>
          <w14:ligatures w14:val="none"/>
        </w:rPr>
      </w:pPr>
      <w:r w:rsidRPr="00615D4E">
        <w:rPr>
          <w:rFonts w:ascii="Times New Roman" w:hAnsi="Times New Roman"/>
          <w:b/>
          <w:bCs/>
          <w:kern w:val="0"/>
          <w:sz w:val="24"/>
          <w:szCs w:val="24"/>
          <w14:ligatures w14:val="none"/>
        </w:rPr>
        <w:t>Strateji 1.1.:</w:t>
      </w:r>
      <w:r w:rsidRPr="00615D4E">
        <w:rPr>
          <w:rFonts w:ascii="Times New Roman" w:hAnsi="Times New Roman"/>
          <w:kern w:val="0"/>
          <w:sz w:val="24"/>
          <w:szCs w:val="24"/>
          <w14:ligatures w14:val="none"/>
        </w:rPr>
        <w:t xml:space="preserve"> Öğrenme araçlarının ve araştırma kapasite sayı ve kalitesini artırmak </w:t>
      </w:r>
    </w:p>
    <w:p w14:paraId="5BA11D8D" w14:textId="77777777" w:rsidR="007000C4" w:rsidRPr="00615D4E" w:rsidRDefault="007000C4" w:rsidP="007000C4">
      <w:pPr>
        <w:spacing w:after="0" w:line="240" w:lineRule="auto"/>
        <w:jc w:val="both"/>
        <w:rPr>
          <w:rFonts w:ascii="Times New Roman" w:hAnsi="Times New Roman"/>
          <w:kern w:val="0"/>
          <w:sz w:val="24"/>
          <w:szCs w:val="24"/>
          <w14:ligatures w14:val="none"/>
        </w:rPr>
      </w:pPr>
      <w:r w:rsidRPr="00615D4E">
        <w:rPr>
          <w:rFonts w:ascii="Times New Roman" w:hAnsi="Times New Roman"/>
          <w:b/>
          <w:bCs/>
          <w:kern w:val="0"/>
          <w:sz w:val="24"/>
          <w:szCs w:val="24"/>
          <w14:ligatures w14:val="none"/>
        </w:rPr>
        <w:t>Strateji 1.2.:</w:t>
      </w:r>
      <w:r w:rsidRPr="00615D4E">
        <w:rPr>
          <w:rFonts w:ascii="Times New Roman" w:hAnsi="Times New Roman"/>
          <w:kern w:val="0"/>
          <w:sz w:val="24"/>
          <w:szCs w:val="24"/>
          <w14:ligatures w14:val="none"/>
        </w:rPr>
        <w:t xml:space="preserve"> Öğrencilerin aldıkları eğitimle ilgili memnuiyet düzeyini ölçmek</w:t>
      </w: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7"/>
        <w:gridCol w:w="593"/>
        <w:gridCol w:w="596"/>
        <w:gridCol w:w="495"/>
        <w:gridCol w:w="598"/>
        <w:gridCol w:w="596"/>
        <w:gridCol w:w="596"/>
        <w:gridCol w:w="597"/>
        <w:gridCol w:w="594"/>
        <w:gridCol w:w="596"/>
        <w:gridCol w:w="690"/>
      </w:tblGrid>
      <w:tr w:rsidR="007000C4" w:rsidRPr="006822A5" w14:paraId="4B9ACA62" w14:textId="77777777" w:rsidTr="0008122D">
        <w:trPr>
          <w:trHeight w:val="277"/>
        </w:trPr>
        <w:tc>
          <w:tcPr>
            <w:tcW w:w="4097" w:type="dxa"/>
            <w:vMerge w:val="restart"/>
          </w:tcPr>
          <w:p w14:paraId="4EF791EC" w14:textId="77777777" w:rsidR="007000C4" w:rsidRPr="006822A5" w:rsidRDefault="007000C4" w:rsidP="0008122D">
            <w:pPr>
              <w:widowControl w:val="0"/>
              <w:autoSpaceDE w:val="0"/>
              <w:autoSpaceDN w:val="0"/>
              <w:spacing w:before="143" w:after="0" w:line="240" w:lineRule="auto"/>
              <w:ind w:left="107"/>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Performans</w:t>
            </w:r>
            <w:r w:rsidRPr="006822A5">
              <w:rPr>
                <w:rFonts w:asciiTheme="majorBidi" w:eastAsia="Times New Roman" w:hAnsiTheme="majorBidi" w:cstheme="majorBidi"/>
                <w:b/>
                <w:spacing w:val="-4"/>
                <w:kern w:val="0"/>
                <w:sz w:val="24"/>
                <w:szCs w:val="24"/>
                <w14:ligatures w14:val="none"/>
              </w:rPr>
              <w:t xml:space="preserve"> </w:t>
            </w:r>
            <w:r w:rsidRPr="006822A5">
              <w:rPr>
                <w:rFonts w:asciiTheme="majorBidi" w:eastAsia="Times New Roman" w:hAnsiTheme="majorBidi" w:cstheme="majorBidi"/>
                <w:b/>
                <w:kern w:val="0"/>
                <w:sz w:val="24"/>
                <w:szCs w:val="24"/>
                <w14:ligatures w14:val="none"/>
              </w:rPr>
              <w:t>Göstergeleri</w:t>
            </w:r>
          </w:p>
        </w:tc>
        <w:tc>
          <w:tcPr>
            <w:tcW w:w="1189" w:type="dxa"/>
            <w:gridSpan w:val="2"/>
          </w:tcPr>
          <w:p w14:paraId="0AA5F390" w14:textId="77777777" w:rsidR="007000C4" w:rsidRPr="006822A5" w:rsidRDefault="007000C4" w:rsidP="0008122D">
            <w:pPr>
              <w:widowControl w:val="0"/>
              <w:autoSpaceDE w:val="0"/>
              <w:autoSpaceDN w:val="0"/>
              <w:spacing w:before="1" w:after="0" w:line="257" w:lineRule="exact"/>
              <w:ind w:left="355"/>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2024</w:t>
            </w:r>
          </w:p>
        </w:tc>
        <w:tc>
          <w:tcPr>
            <w:tcW w:w="1093" w:type="dxa"/>
            <w:gridSpan w:val="2"/>
          </w:tcPr>
          <w:p w14:paraId="1B7D9336" w14:textId="77777777" w:rsidR="007000C4" w:rsidRPr="006822A5" w:rsidRDefault="007000C4" w:rsidP="0008122D">
            <w:pPr>
              <w:widowControl w:val="0"/>
              <w:autoSpaceDE w:val="0"/>
              <w:autoSpaceDN w:val="0"/>
              <w:spacing w:before="1" w:after="0" w:line="257" w:lineRule="exact"/>
              <w:ind w:left="306"/>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2025</w:t>
            </w:r>
          </w:p>
        </w:tc>
        <w:tc>
          <w:tcPr>
            <w:tcW w:w="1192" w:type="dxa"/>
            <w:gridSpan w:val="2"/>
          </w:tcPr>
          <w:p w14:paraId="3B85456D" w14:textId="77777777" w:rsidR="007000C4" w:rsidRPr="006822A5" w:rsidRDefault="007000C4" w:rsidP="0008122D">
            <w:pPr>
              <w:widowControl w:val="0"/>
              <w:autoSpaceDE w:val="0"/>
              <w:autoSpaceDN w:val="0"/>
              <w:spacing w:before="1" w:after="0" w:line="257" w:lineRule="exact"/>
              <w:ind w:left="353"/>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2026</w:t>
            </w:r>
          </w:p>
        </w:tc>
        <w:tc>
          <w:tcPr>
            <w:tcW w:w="1191" w:type="dxa"/>
            <w:gridSpan w:val="2"/>
          </w:tcPr>
          <w:p w14:paraId="02C53307" w14:textId="77777777" w:rsidR="007000C4" w:rsidRPr="006822A5" w:rsidRDefault="007000C4" w:rsidP="0008122D">
            <w:pPr>
              <w:widowControl w:val="0"/>
              <w:autoSpaceDE w:val="0"/>
              <w:autoSpaceDN w:val="0"/>
              <w:spacing w:before="1" w:after="0" w:line="257" w:lineRule="exact"/>
              <w:ind w:left="352"/>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2027</w:t>
            </w:r>
          </w:p>
        </w:tc>
        <w:tc>
          <w:tcPr>
            <w:tcW w:w="1286" w:type="dxa"/>
            <w:gridSpan w:val="2"/>
          </w:tcPr>
          <w:p w14:paraId="62435182" w14:textId="77777777" w:rsidR="007000C4" w:rsidRPr="006822A5" w:rsidRDefault="007000C4" w:rsidP="0008122D">
            <w:pPr>
              <w:widowControl w:val="0"/>
              <w:autoSpaceDE w:val="0"/>
              <w:autoSpaceDN w:val="0"/>
              <w:spacing w:before="1" w:after="0" w:line="257" w:lineRule="exact"/>
              <w:ind w:left="397"/>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2028</w:t>
            </w:r>
          </w:p>
        </w:tc>
      </w:tr>
      <w:tr w:rsidR="007000C4" w:rsidRPr="006822A5" w14:paraId="6A028FB4" w14:textId="77777777" w:rsidTr="0008122D">
        <w:trPr>
          <w:trHeight w:val="275"/>
        </w:trPr>
        <w:tc>
          <w:tcPr>
            <w:tcW w:w="4097" w:type="dxa"/>
            <w:vMerge/>
            <w:tcBorders>
              <w:top w:val="nil"/>
            </w:tcBorders>
          </w:tcPr>
          <w:p w14:paraId="0C530080"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3" w:type="dxa"/>
          </w:tcPr>
          <w:p w14:paraId="6746DB61" w14:textId="77777777" w:rsidR="007000C4" w:rsidRPr="006822A5" w:rsidRDefault="007000C4" w:rsidP="0008122D">
            <w:pPr>
              <w:widowControl w:val="0"/>
              <w:autoSpaceDE w:val="0"/>
              <w:autoSpaceDN w:val="0"/>
              <w:spacing w:after="0" w:line="256" w:lineRule="exact"/>
              <w:ind w:left="203"/>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H</w:t>
            </w:r>
          </w:p>
        </w:tc>
        <w:tc>
          <w:tcPr>
            <w:tcW w:w="596" w:type="dxa"/>
          </w:tcPr>
          <w:p w14:paraId="245B10E0" w14:textId="77777777" w:rsidR="007000C4" w:rsidRPr="006822A5" w:rsidRDefault="007000C4" w:rsidP="0008122D">
            <w:pPr>
              <w:widowControl w:val="0"/>
              <w:autoSpaceDE w:val="0"/>
              <w:autoSpaceDN w:val="0"/>
              <w:spacing w:after="0" w:line="256" w:lineRule="exact"/>
              <w:ind w:left="206"/>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G</w:t>
            </w:r>
          </w:p>
        </w:tc>
        <w:tc>
          <w:tcPr>
            <w:tcW w:w="495" w:type="dxa"/>
          </w:tcPr>
          <w:p w14:paraId="54A325C9" w14:textId="77777777" w:rsidR="007000C4" w:rsidRPr="006822A5" w:rsidRDefault="007000C4" w:rsidP="0008122D">
            <w:pPr>
              <w:widowControl w:val="0"/>
              <w:autoSpaceDE w:val="0"/>
              <w:autoSpaceDN w:val="0"/>
              <w:spacing w:after="0" w:line="256" w:lineRule="exact"/>
              <w:ind w:left="155"/>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H</w:t>
            </w:r>
          </w:p>
        </w:tc>
        <w:tc>
          <w:tcPr>
            <w:tcW w:w="598" w:type="dxa"/>
          </w:tcPr>
          <w:p w14:paraId="11ED63A5" w14:textId="77777777" w:rsidR="007000C4" w:rsidRPr="006822A5" w:rsidRDefault="007000C4" w:rsidP="0008122D">
            <w:pPr>
              <w:widowControl w:val="0"/>
              <w:autoSpaceDE w:val="0"/>
              <w:autoSpaceDN w:val="0"/>
              <w:spacing w:after="0" w:line="256" w:lineRule="exact"/>
              <w:ind w:left="8"/>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G</w:t>
            </w:r>
          </w:p>
        </w:tc>
        <w:tc>
          <w:tcPr>
            <w:tcW w:w="596" w:type="dxa"/>
          </w:tcPr>
          <w:p w14:paraId="5B145954" w14:textId="77777777" w:rsidR="007000C4" w:rsidRPr="006822A5" w:rsidRDefault="007000C4" w:rsidP="0008122D">
            <w:pPr>
              <w:widowControl w:val="0"/>
              <w:autoSpaceDE w:val="0"/>
              <w:autoSpaceDN w:val="0"/>
              <w:spacing w:after="0" w:line="256" w:lineRule="exact"/>
              <w:ind w:right="195"/>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H</w:t>
            </w:r>
          </w:p>
        </w:tc>
        <w:tc>
          <w:tcPr>
            <w:tcW w:w="596" w:type="dxa"/>
          </w:tcPr>
          <w:p w14:paraId="36B3C1AF" w14:textId="77777777" w:rsidR="007000C4" w:rsidRPr="006822A5" w:rsidRDefault="007000C4" w:rsidP="0008122D">
            <w:pPr>
              <w:widowControl w:val="0"/>
              <w:autoSpaceDE w:val="0"/>
              <w:autoSpaceDN w:val="0"/>
              <w:spacing w:after="0" w:line="256" w:lineRule="exact"/>
              <w:ind w:left="3"/>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G</w:t>
            </w:r>
          </w:p>
        </w:tc>
        <w:tc>
          <w:tcPr>
            <w:tcW w:w="597" w:type="dxa"/>
          </w:tcPr>
          <w:p w14:paraId="291A2C12" w14:textId="77777777" w:rsidR="007000C4" w:rsidRPr="006822A5" w:rsidRDefault="007000C4" w:rsidP="0008122D">
            <w:pPr>
              <w:widowControl w:val="0"/>
              <w:autoSpaceDE w:val="0"/>
              <w:autoSpaceDN w:val="0"/>
              <w:spacing w:after="0" w:line="256" w:lineRule="exact"/>
              <w:ind w:right="197"/>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H</w:t>
            </w:r>
          </w:p>
        </w:tc>
        <w:tc>
          <w:tcPr>
            <w:tcW w:w="594" w:type="dxa"/>
          </w:tcPr>
          <w:p w14:paraId="6C196BAE" w14:textId="77777777" w:rsidR="007000C4" w:rsidRPr="006822A5" w:rsidRDefault="007000C4" w:rsidP="0008122D">
            <w:pPr>
              <w:widowControl w:val="0"/>
              <w:autoSpaceDE w:val="0"/>
              <w:autoSpaceDN w:val="0"/>
              <w:spacing w:after="0" w:line="256" w:lineRule="exact"/>
              <w:ind w:left="1"/>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G</w:t>
            </w:r>
          </w:p>
        </w:tc>
        <w:tc>
          <w:tcPr>
            <w:tcW w:w="596" w:type="dxa"/>
          </w:tcPr>
          <w:p w14:paraId="2644D472" w14:textId="77777777" w:rsidR="007000C4" w:rsidRPr="006822A5" w:rsidRDefault="007000C4" w:rsidP="0008122D">
            <w:pPr>
              <w:widowControl w:val="0"/>
              <w:autoSpaceDE w:val="0"/>
              <w:autoSpaceDN w:val="0"/>
              <w:spacing w:after="0" w:line="256" w:lineRule="exact"/>
              <w:ind w:left="2"/>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H</w:t>
            </w:r>
          </w:p>
        </w:tc>
        <w:tc>
          <w:tcPr>
            <w:tcW w:w="690" w:type="dxa"/>
          </w:tcPr>
          <w:p w14:paraId="3996D1FC" w14:textId="77777777" w:rsidR="007000C4" w:rsidRPr="006822A5" w:rsidRDefault="007000C4" w:rsidP="0008122D">
            <w:pPr>
              <w:widowControl w:val="0"/>
              <w:autoSpaceDE w:val="0"/>
              <w:autoSpaceDN w:val="0"/>
              <w:spacing w:after="0" w:line="256" w:lineRule="exact"/>
              <w:jc w:val="both"/>
              <w:rPr>
                <w:rFonts w:asciiTheme="majorBidi" w:eastAsia="Times New Roman" w:hAnsiTheme="majorBidi" w:cstheme="majorBidi"/>
                <w:b/>
                <w:kern w:val="0"/>
                <w:sz w:val="24"/>
                <w:szCs w:val="24"/>
                <w14:ligatures w14:val="none"/>
              </w:rPr>
            </w:pPr>
            <w:r w:rsidRPr="006822A5">
              <w:rPr>
                <w:rFonts w:asciiTheme="majorBidi" w:eastAsia="Times New Roman" w:hAnsiTheme="majorBidi" w:cstheme="majorBidi"/>
                <w:b/>
                <w:kern w:val="0"/>
                <w:sz w:val="24"/>
                <w:szCs w:val="24"/>
                <w14:ligatures w14:val="none"/>
              </w:rPr>
              <w:t>G</w:t>
            </w:r>
          </w:p>
        </w:tc>
      </w:tr>
      <w:tr w:rsidR="007000C4" w:rsidRPr="006822A5" w14:paraId="31AE7597" w14:textId="77777777" w:rsidTr="0008122D">
        <w:trPr>
          <w:trHeight w:val="551"/>
        </w:trPr>
        <w:tc>
          <w:tcPr>
            <w:tcW w:w="4097" w:type="dxa"/>
          </w:tcPr>
          <w:p w14:paraId="7F4FE073" w14:textId="77777777" w:rsidR="007000C4" w:rsidRPr="006822A5" w:rsidRDefault="007000C4"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Öğretim üyesi başına düşen doktora öğrenci sayısı</w:t>
            </w:r>
          </w:p>
        </w:tc>
        <w:tc>
          <w:tcPr>
            <w:tcW w:w="593" w:type="dxa"/>
            <w:vAlign w:val="center"/>
          </w:tcPr>
          <w:p w14:paraId="3662A9D8" w14:textId="77777777" w:rsidR="007000C4" w:rsidRPr="006822A5" w:rsidRDefault="007000C4"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6" w:type="dxa"/>
            <w:vAlign w:val="center"/>
          </w:tcPr>
          <w:p w14:paraId="021A85EF"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0,7</w:t>
            </w:r>
            <w:r>
              <w:rPr>
                <w:rFonts w:asciiTheme="majorBidi" w:hAnsiTheme="majorBidi" w:cstheme="majorBidi"/>
                <w:sz w:val="24"/>
                <w:szCs w:val="24"/>
              </w:rPr>
              <w:t>8</w:t>
            </w:r>
          </w:p>
        </w:tc>
        <w:tc>
          <w:tcPr>
            <w:tcW w:w="495" w:type="dxa"/>
            <w:vAlign w:val="center"/>
          </w:tcPr>
          <w:p w14:paraId="4E90D9B8" w14:textId="77777777" w:rsidR="007000C4" w:rsidRPr="006822A5" w:rsidRDefault="007000C4"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8" w:type="dxa"/>
            <w:vAlign w:val="center"/>
          </w:tcPr>
          <w:p w14:paraId="25FD5505"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0,67</w:t>
            </w:r>
          </w:p>
        </w:tc>
        <w:tc>
          <w:tcPr>
            <w:tcW w:w="596" w:type="dxa"/>
            <w:vAlign w:val="center"/>
          </w:tcPr>
          <w:p w14:paraId="02B35DE3" w14:textId="77777777" w:rsidR="007000C4" w:rsidRPr="006822A5" w:rsidRDefault="007000C4"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6" w:type="dxa"/>
            <w:vAlign w:val="center"/>
          </w:tcPr>
          <w:p w14:paraId="3625825D"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58070CC4" w14:textId="77777777" w:rsidR="007000C4" w:rsidRPr="006822A5" w:rsidRDefault="007000C4"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4" w:type="dxa"/>
            <w:vAlign w:val="center"/>
          </w:tcPr>
          <w:p w14:paraId="2181AA06"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06647476" w14:textId="77777777" w:rsidR="007000C4" w:rsidRPr="006822A5" w:rsidRDefault="007000C4"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690" w:type="dxa"/>
          </w:tcPr>
          <w:p w14:paraId="56D482E5"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7000C4" w:rsidRPr="006822A5" w14:paraId="5BC79ACF" w14:textId="77777777" w:rsidTr="0008122D">
        <w:trPr>
          <w:trHeight w:val="367"/>
        </w:trPr>
        <w:tc>
          <w:tcPr>
            <w:tcW w:w="4097" w:type="dxa"/>
          </w:tcPr>
          <w:p w14:paraId="0CE1F900" w14:textId="77777777" w:rsidR="007000C4" w:rsidRPr="006822A5" w:rsidRDefault="007000C4" w:rsidP="0008122D">
            <w:pPr>
              <w:widowControl w:val="0"/>
              <w:autoSpaceDE w:val="0"/>
              <w:autoSpaceDN w:val="0"/>
              <w:spacing w:after="0" w:line="275" w:lineRule="exact"/>
              <w:ind w:left="107"/>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Programa kayıtlı doktora öğrencilerinin memnuniyetini ölçen anket sayısı</w:t>
            </w:r>
          </w:p>
        </w:tc>
        <w:tc>
          <w:tcPr>
            <w:tcW w:w="593" w:type="dxa"/>
            <w:vAlign w:val="center"/>
          </w:tcPr>
          <w:p w14:paraId="541A31FE" w14:textId="77777777" w:rsidR="007000C4" w:rsidRPr="006822A5" w:rsidRDefault="007000C4" w:rsidP="0008122D">
            <w:pPr>
              <w:widowControl w:val="0"/>
              <w:autoSpaceDE w:val="0"/>
              <w:autoSpaceDN w:val="0"/>
              <w:spacing w:before="44" w:after="0" w:line="240" w:lineRule="auto"/>
              <w:ind w:left="237"/>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6" w:type="dxa"/>
            <w:vAlign w:val="center"/>
          </w:tcPr>
          <w:p w14:paraId="0BFCB192"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495" w:type="dxa"/>
            <w:vAlign w:val="center"/>
          </w:tcPr>
          <w:p w14:paraId="7834EEC6" w14:textId="77777777" w:rsidR="007000C4" w:rsidRPr="006822A5" w:rsidRDefault="007000C4" w:rsidP="0008122D">
            <w:pPr>
              <w:widowControl w:val="0"/>
              <w:autoSpaceDE w:val="0"/>
              <w:autoSpaceDN w:val="0"/>
              <w:spacing w:before="44" w:after="0" w:line="240" w:lineRule="auto"/>
              <w:ind w:left="188"/>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8" w:type="dxa"/>
            <w:vAlign w:val="center"/>
          </w:tcPr>
          <w:p w14:paraId="21B91FBD"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1</w:t>
            </w:r>
          </w:p>
        </w:tc>
        <w:tc>
          <w:tcPr>
            <w:tcW w:w="596" w:type="dxa"/>
            <w:vAlign w:val="center"/>
          </w:tcPr>
          <w:p w14:paraId="5603483C" w14:textId="77777777" w:rsidR="007000C4" w:rsidRPr="006822A5" w:rsidRDefault="007000C4" w:rsidP="0008122D">
            <w:pPr>
              <w:widowControl w:val="0"/>
              <w:autoSpaceDE w:val="0"/>
              <w:autoSpaceDN w:val="0"/>
              <w:spacing w:before="44" w:after="0" w:line="240" w:lineRule="auto"/>
              <w:ind w:right="228"/>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6" w:type="dxa"/>
            <w:vAlign w:val="center"/>
          </w:tcPr>
          <w:p w14:paraId="56F716F0"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6037D9AA" w14:textId="77777777" w:rsidR="007000C4" w:rsidRPr="006822A5" w:rsidRDefault="007000C4" w:rsidP="0008122D">
            <w:pPr>
              <w:widowControl w:val="0"/>
              <w:autoSpaceDE w:val="0"/>
              <w:autoSpaceDN w:val="0"/>
              <w:spacing w:before="44" w:after="0" w:line="240" w:lineRule="auto"/>
              <w:ind w:right="230"/>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594" w:type="dxa"/>
            <w:vAlign w:val="center"/>
          </w:tcPr>
          <w:p w14:paraId="59A63ED9"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59C600D8" w14:textId="77777777" w:rsidR="007000C4" w:rsidRPr="006822A5" w:rsidRDefault="007000C4" w:rsidP="0008122D">
            <w:pPr>
              <w:widowControl w:val="0"/>
              <w:autoSpaceDE w:val="0"/>
              <w:autoSpaceDN w:val="0"/>
              <w:spacing w:before="44" w:after="0" w:line="240" w:lineRule="auto"/>
              <w:ind w:left="2"/>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1</w:t>
            </w:r>
          </w:p>
        </w:tc>
        <w:tc>
          <w:tcPr>
            <w:tcW w:w="690" w:type="dxa"/>
          </w:tcPr>
          <w:p w14:paraId="1C1B3B88" w14:textId="77777777" w:rsidR="007000C4" w:rsidRPr="006822A5"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7000C4" w:rsidRPr="006822A5" w14:paraId="64C81F7F" w14:textId="77777777" w:rsidTr="0008122D">
        <w:trPr>
          <w:trHeight w:val="317"/>
        </w:trPr>
        <w:tc>
          <w:tcPr>
            <w:tcW w:w="4097" w:type="dxa"/>
            <w:vAlign w:val="center"/>
          </w:tcPr>
          <w:p w14:paraId="138ADF34" w14:textId="77777777" w:rsidR="007000C4" w:rsidRPr="006822A5" w:rsidRDefault="007000C4" w:rsidP="0008122D">
            <w:pPr>
              <w:widowControl w:val="0"/>
              <w:autoSpaceDE w:val="0"/>
              <w:autoSpaceDN w:val="0"/>
              <w:spacing w:after="0" w:line="274" w:lineRule="exact"/>
              <w:ind w:left="107"/>
              <w:jc w:val="both"/>
              <w:rPr>
                <w:rFonts w:asciiTheme="majorBidi" w:eastAsia="Times New Roman" w:hAnsiTheme="majorBidi" w:cstheme="majorBidi"/>
                <w:kern w:val="0"/>
                <w:sz w:val="24"/>
                <w:szCs w:val="24"/>
                <w14:ligatures w14:val="none"/>
              </w:rPr>
            </w:pPr>
            <w:r w:rsidRPr="006822A5">
              <w:rPr>
                <w:rFonts w:asciiTheme="majorBidi" w:hAnsiTheme="majorBidi" w:cstheme="majorBidi"/>
                <w:sz w:val="24"/>
                <w:szCs w:val="24"/>
              </w:rPr>
              <w:t>Değerlendirme</w:t>
            </w:r>
          </w:p>
        </w:tc>
        <w:tc>
          <w:tcPr>
            <w:tcW w:w="5951" w:type="dxa"/>
            <w:gridSpan w:val="10"/>
          </w:tcPr>
          <w:p w14:paraId="51A185DC" w14:textId="77777777" w:rsidR="007000C4" w:rsidRPr="0076342B" w:rsidRDefault="007000C4" w:rsidP="0008122D">
            <w:pPr>
              <w:spacing w:before="100" w:beforeAutospacing="1" w:after="100" w:afterAutospacing="1" w:line="240" w:lineRule="auto"/>
              <w:jc w:val="both"/>
              <w:outlineLvl w:val="2"/>
              <w:rPr>
                <w:rFonts w:asciiTheme="majorBidi" w:hAnsiTheme="majorBidi" w:cstheme="majorBidi"/>
                <w:b/>
                <w:bCs/>
                <w:sz w:val="24"/>
                <w:szCs w:val="24"/>
              </w:rPr>
            </w:pPr>
            <w:r w:rsidRPr="0076342B">
              <w:rPr>
                <w:rFonts w:asciiTheme="majorBidi" w:hAnsiTheme="majorBidi" w:cstheme="majorBidi"/>
                <w:b/>
                <w:bCs/>
                <w:sz w:val="24"/>
                <w:szCs w:val="24"/>
              </w:rPr>
              <w:t>Stratejik Hedef: Öğrencilerin öğrenme istek, kapasite ve memnuniyetlerini geliştirmek</w:t>
            </w:r>
          </w:p>
          <w:p w14:paraId="3C993D10" w14:textId="77777777" w:rsidR="007000C4"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Bu stratejik hedef kapsamında öğrencilerin akademik ortamdan faydalanma düzeyi, öğretim üyesi–öğrenci oranı ve öğrenci memnuniyeti temel göstergeler olarak ele alınmıştır. 2025 yılı itibarıyla doktora programına kayıtlı aktif öğrenci sayısının 6, programda görev yapan öğretim üyesi sayısının ise 9 olması, öğrencilere birebir akademik danışmanlık ve rehberlik sunulabilmesi açısından elverişli bir yapı ortaya koymaktadır.</w:t>
            </w:r>
          </w:p>
          <w:p w14:paraId="5DC8571E" w14:textId="77777777" w:rsidR="007000C4"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 xml:space="preserve">Her ne kadar öğretim üyesi başına düşen doktora öğrenci sayısı hedefin altında kalsa </w:t>
            </w:r>
            <w:proofErr w:type="gramStart"/>
            <w:r w:rsidRPr="0076342B">
              <w:rPr>
                <w:rFonts w:asciiTheme="majorBidi" w:hAnsiTheme="majorBidi" w:cstheme="majorBidi"/>
                <w:sz w:val="24"/>
                <w:szCs w:val="24"/>
              </w:rPr>
              <w:t>da,</w:t>
            </w:r>
            <w:proofErr w:type="gramEnd"/>
            <w:r w:rsidRPr="0076342B">
              <w:rPr>
                <w:rFonts w:asciiTheme="majorBidi" w:hAnsiTheme="majorBidi" w:cstheme="majorBidi"/>
                <w:sz w:val="24"/>
                <w:szCs w:val="24"/>
              </w:rPr>
              <w:t xml:space="preserve"> öğrenci memnuniyet anketi sonuçlarının oldukça yüksek düzeyde olması, öğrencilerin öğrenme süreçlerinden ve akademik ortamdan duydukları memnuniyetin güçlü olduğunu göstermektedir. Bu çerçevede, stratejik hedef doğrultusunda özellikle memnuniyet boyutunda olumlu bir gerçekleşme sağlandığı değerlendirilmektedir.</w:t>
            </w:r>
          </w:p>
          <w:p w14:paraId="69C2FE9A" w14:textId="77777777" w:rsidR="007000C4" w:rsidRPr="0076342B"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Strateji 1.1.: Öğrenme araçlarının ve araştırma kapasite sayı ve kalitesini artırmak</w:t>
            </w:r>
          </w:p>
          <w:p w14:paraId="78AE3894" w14:textId="77777777" w:rsidR="007000C4"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 xml:space="preserve">Bu strateji kapsamında öğretim üyesi başına düşen doktora öğrenci sayısı, araştırma kapasitesinin etkin kullanımını gösteren temel performans göstergelerinden biri olarak belirlenmiştir. 2025 yılı </w:t>
            </w:r>
            <w:proofErr w:type="gramStart"/>
            <w:r w:rsidRPr="0076342B">
              <w:rPr>
                <w:rFonts w:asciiTheme="majorBidi" w:hAnsiTheme="majorBidi" w:cstheme="majorBidi"/>
                <w:sz w:val="24"/>
                <w:szCs w:val="24"/>
              </w:rPr>
              <w:t>Ocak</w:t>
            </w:r>
            <w:proofErr w:type="gramEnd"/>
            <w:r w:rsidRPr="0076342B">
              <w:rPr>
                <w:rFonts w:asciiTheme="majorBidi" w:hAnsiTheme="majorBidi" w:cstheme="majorBidi"/>
                <w:sz w:val="24"/>
                <w:szCs w:val="24"/>
              </w:rPr>
              <w:t xml:space="preserve"> ayı itibarıyla öğretim üyesi başına düşen doktora öğrenci sayısı yaklaşık 0,68 olarak gerçekleşmiş ve ilgili yıl için belirlenen hedefin altında kalınmıştır.</w:t>
            </w:r>
          </w:p>
          <w:p w14:paraId="4EBD6F6A" w14:textId="77777777" w:rsidR="007000C4"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Bununla birlikte, düşük öğrenci-öğretim üyesi oranı, öğrencilerin akademik danışmanlık hizmetlerine daha kolay erişebilmesine ve bireysel araştırma süreçlerinin daha yakından izlenmesine imkân tanımaktadır. Gelecek yıllarda doktora öğrenci sayısının artırılmasına yönelik yürütülen çalışmaların tamamlanmasıyla birlikte, araştırma kapasitesinin nicel olarak da güçlenmesi beklenmektedir. Bu bağlamda, stratejinin nitel boyutunda olumlu bir yapı mevcut olmakla birlikte, nicel hedeflere ulaşılması için geliştirme ihtiyacı devam etmektedir.</w:t>
            </w:r>
          </w:p>
          <w:p w14:paraId="546813D7" w14:textId="77777777" w:rsidR="007000C4" w:rsidRPr="0076342B" w:rsidRDefault="007000C4" w:rsidP="0008122D">
            <w:pPr>
              <w:spacing w:before="100" w:beforeAutospacing="1" w:after="100" w:afterAutospacing="1" w:line="240" w:lineRule="auto"/>
              <w:jc w:val="both"/>
              <w:rPr>
                <w:rFonts w:asciiTheme="majorBidi" w:hAnsiTheme="majorBidi" w:cstheme="majorBidi"/>
                <w:b/>
                <w:bCs/>
                <w:sz w:val="24"/>
                <w:szCs w:val="24"/>
              </w:rPr>
            </w:pPr>
            <w:r w:rsidRPr="0076342B">
              <w:rPr>
                <w:rFonts w:asciiTheme="majorBidi" w:hAnsiTheme="majorBidi" w:cstheme="majorBidi"/>
                <w:b/>
                <w:bCs/>
                <w:sz w:val="24"/>
                <w:szCs w:val="24"/>
              </w:rPr>
              <w:t>Strateji 1.2.: Öğrencilerin aldıkları eğitimle ilgili memnuniyet düzeyini ölçmek</w:t>
            </w:r>
          </w:p>
          <w:p w14:paraId="37CE133F" w14:textId="77777777" w:rsidR="007000C4" w:rsidRPr="0076342B"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Bu strateji doğrultusunda, doktora programına kayıtlı öğrencilerin memnuniyet düzeylerini ölçmeye yönelik olarak 2025 yılında bir adet memnuniyet anketi gerçekleştirilmiştir. Anket sonuçlarına göre, ankete katılan öğrencilerin yaklaşık %100’ü eğitimlerini Maliye Bölümünde almaktan memnun olduklarını ifade etmişlerdir.</w:t>
            </w:r>
          </w:p>
          <w:p w14:paraId="77C52030" w14:textId="77777777" w:rsidR="007000C4" w:rsidRPr="0076342B" w:rsidRDefault="007000C4" w:rsidP="0008122D">
            <w:pPr>
              <w:spacing w:before="100" w:beforeAutospacing="1" w:after="100" w:afterAutospacing="1" w:line="240" w:lineRule="auto"/>
              <w:jc w:val="both"/>
              <w:rPr>
                <w:rFonts w:asciiTheme="majorBidi" w:hAnsiTheme="majorBidi" w:cstheme="majorBidi"/>
                <w:sz w:val="24"/>
                <w:szCs w:val="24"/>
              </w:rPr>
            </w:pPr>
            <w:r w:rsidRPr="0076342B">
              <w:rPr>
                <w:rFonts w:asciiTheme="majorBidi" w:hAnsiTheme="majorBidi" w:cstheme="majorBidi"/>
                <w:sz w:val="24"/>
                <w:szCs w:val="24"/>
              </w:rPr>
              <w:t>Bu bulgu, öğrencilerin akademik içerik, öğretim elemanlarıyla etkileşim ve genel öğrenme ortamı açısından yüksek düzeyde memnuniyet duyduklarını göstermektedir. Dolayısıyla, öğrenci memnuniyetinin düzenli olarak ölçülmesine ve geri bildirimlerin izlenmesine yönelik Strateji 1.2 kapsamında belirlenen hedeflere başarıyla ulaşıldığı değerlendirilmektedir.</w:t>
            </w:r>
          </w:p>
          <w:p w14:paraId="6070DC81" w14:textId="77777777" w:rsidR="007000C4" w:rsidRPr="0076342B" w:rsidRDefault="007000C4" w:rsidP="0008122D">
            <w:pPr>
              <w:widowControl w:val="0"/>
              <w:autoSpaceDE w:val="0"/>
              <w:autoSpaceDN w:val="0"/>
              <w:spacing w:after="0" w:line="240" w:lineRule="auto"/>
              <w:jc w:val="both"/>
              <w:rPr>
                <w:rFonts w:asciiTheme="majorBidi" w:hAnsiTheme="majorBidi" w:cstheme="majorBidi"/>
                <w:sz w:val="24"/>
                <w:szCs w:val="24"/>
              </w:rPr>
            </w:pPr>
          </w:p>
        </w:tc>
      </w:tr>
      <w:tr w:rsidR="007000C4" w:rsidRPr="006822A5" w14:paraId="31103DEA" w14:textId="77777777" w:rsidTr="0008122D">
        <w:trPr>
          <w:trHeight w:val="274"/>
        </w:trPr>
        <w:tc>
          <w:tcPr>
            <w:tcW w:w="10048" w:type="dxa"/>
            <w:gridSpan w:val="11"/>
            <w:tcBorders>
              <w:left w:val="nil"/>
              <w:bottom w:val="nil"/>
              <w:right w:val="nil"/>
            </w:tcBorders>
          </w:tcPr>
          <w:p w14:paraId="6C6D34C9" w14:textId="77777777" w:rsidR="007000C4" w:rsidRPr="006822A5" w:rsidRDefault="007000C4" w:rsidP="0008122D">
            <w:pPr>
              <w:widowControl w:val="0"/>
              <w:autoSpaceDE w:val="0"/>
              <w:autoSpaceDN w:val="0"/>
              <w:spacing w:after="0" w:line="255" w:lineRule="exact"/>
              <w:ind w:left="112"/>
              <w:jc w:val="both"/>
              <w:rPr>
                <w:rFonts w:asciiTheme="majorBidi" w:eastAsia="Times New Roman" w:hAnsiTheme="majorBidi" w:cstheme="majorBidi"/>
                <w:kern w:val="0"/>
                <w:sz w:val="24"/>
                <w:szCs w:val="24"/>
                <w14:ligatures w14:val="none"/>
              </w:rPr>
            </w:pPr>
            <w:r w:rsidRPr="006822A5">
              <w:rPr>
                <w:rFonts w:asciiTheme="majorBidi" w:eastAsia="Times New Roman" w:hAnsiTheme="majorBidi" w:cstheme="majorBidi"/>
                <w:b/>
                <w:kern w:val="0"/>
                <w:sz w:val="24"/>
                <w:szCs w:val="24"/>
                <w14:ligatures w14:val="none"/>
              </w:rPr>
              <w:t>H:</w:t>
            </w:r>
            <w:r w:rsidRPr="006822A5">
              <w:rPr>
                <w:rFonts w:asciiTheme="majorBidi" w:eastAsia="Times New Roman" w:hAnsiTheme="majorBidi" w:cstheme="majorBidi"/>
                <w:b/>
                <w:spacing w:val="-3"/>
                <w:kern w:val="0"/>
                <w:sz w:val="24"/>
                <w:szCs w:val="24"/>
                <w14:ligatures w14:val="none"/>
              </w:rPr>
              <w:t xml:space="preserve"> </w:t>
            </w:r>
            <w:r w:rsidRPr="006822A5">
              <w:rPr>
                <w:rFonts w:asciiTheme="majorBidi" w:eastAsia="Times New Roman" w:hAnsiTheme="majorBidi" w:cstheme="majorBidi"/>
                <w:kern w:val="0"/>
                <w:sz w:val="24"/>
                <w:szCs w:val="24"/>
                <w14:ligatures w14:val="none"/>
              </w:rPr>
              <w:t>Hedeflenen;</w:t>
            </w:r>
            <w:r w:rsidRPr="006822A5">
              <w:rPr>
                <w:rFonts w:asciiTheme="majorBidi" w:eastAsia="Times New Roman" w:hAnsiTheme="majorBidi" w:cstheme="majorBidi"/>
                <w:spacing w:val="-1"/>
                <w:kern w:val="0"/>
                <w:sz w:val="24"/>
                <w:szCs w:val="24"/>
                <w14:ligatures w14:val="none"/>
              </w:rPr>
              <w:t xml:space="preserve"> </w:t>
            </w:r>
            <w:r w:rsidRPr="006822A5">
              <w:rPr>
                <w:rFonts w:asciiTheme="majorBidi" w:eastAsia="Times New Roman" w:hAnsiTheme="majorBidi" w:cstheme="majorBidi"/>
                <w:b/>
                <w:kern w:val="0"/>
                <w:sz w:val="24"/>
                <w:szCs w:val="24"/>
                <w14:ligatures w14:val="none"/>
              </w:rPr>
              <w:t>G:</w:t>
            </w:r>
            <w:r w:rsidRPr="006822A5">
              <w:rPr>
                <w:rFonts w:asciiTheme="majorBidi" w:eastAsia="Times New Roman" w:hAnsiTheme="majorBidi" w:cstheme="majorBidi"/>
                <w:b/>
                <w:spacing w:val="-3"/>
                <w:kern w:val="0"/>
                <w:sz w:val="24"/>
                <w:szCs w:val="24"/>
                <w14:ligatures w14:val="none"/>
              </w:rPr>
              <w:t xml:space="preserve"> </w:t>
            </w:r>
            <w:r w:rsidRPr="006822A5">
              <w:rPr>
                <w:rFonts w:asciiTheme="majorBidi" w:eastAsia="Times New Roman" w:hAnsiTheme="majorBidi" w:cstheme="majorBidi"/>
                <w:kern w:val="0"/>
                <w:sz w:val="24"/>
                <w:szCs w:val="24"/>
                <w14:ligatures w14:val="none"/>
              </w:rPr>
              <w:t>Gerçekleşme</w:t>
            </w:r>
          </w:p>
          <w:p w14:paraId="348EE135" w14:textId="77777777" w:rsidR="007000C4" w:rsidRPr="008049FA" w:rsidRDefault="007000C4" w:rsidP="0008122D">
            <w:pPr>
              <w:spacing w:after="0" w:line="240" w:lineRule="auto"/>
              <w:jc w:val="both"/>
              <w:rPr>
                <w:rFonts w:ascii="Times New Roman" w:hAnsi="Times New Roman"/>
                <w:b/>
                <w:bCs/>
                <w:kern w:val="0"/>
                <w:sz w:val="24"/>
                <w:szCs w:val="24"/>
                <w14:ligatures w14:val="none"/>
              </w:rPr>
            </w:pPr>
            <w:r w:rsidRPr="008049FA">
              <w:rPr>
                <w:rFonts w:ascii="Times New Roman" w:hAnsi="Times New Roman"/>
                <w:b/>
                <w:bCs/>
                <w:kern w:val="0"/>
                <w:sz w:val="24"/>
                <w:szCs w:val="24"/>
                <w14:ligatures w14:val="none"/>
              </w:rPr>
              <w:t xml:space="preserve">STRATEJİK AMAÇ: KURUMUN TANINIRLIĞINI GELİŞTİRMEK VE KURUMSALLAŞTIRMAYI KUVVETLENDİRMEK  </w:t>
            </w:r>
          </w:p>
          <w:p w14:paraId="68626E2A" w14:textId="77777777" w:rsidR="007000C4" w:rsidRPr="008049FA" w:rsidRDefault="007000C4" w:rsidP="0008122D">
            <w:pPr>
              <w:spacing w:after="0" w:line="240" w:lineRule="auto"/>
              <w:jc w:val="both"/>
              <w:rPr>
                <w:rFonts w:ascii="Times New Roman" w:hAnsi="Times New Roman"/>
                <w:kern w:val="0"/>
                <w:sz w:val="24"/>
                <w:szCs w:val="24"/>
                <w14:ligatures w14:val="none"/>
              </w:rPr>
            </w:pPr>
            <w:r w:rsidRPr="008049FA">
              <w:rPr>
                <w:rFonts w:ascii="Times New Roman" w:hAnsi="Times New Roman"/>
                <w:b/>
                <w:bCs/>
                <w:kern w:val="0"/>
                <w:sz w:val="24"/>
                <w:szCs w:val="24"/>
                <w14:ligatures w14:val="none"/>
              </w:rPr>
              <w:t xml:space="preserve">Stratejik Hedef: </w:t>
            </w:r>
            <w:r w:rsidRPr="008049FA">
              <w:rPr>
                <w:rFonts w:ascii="Times New Roman" w:hAnsi="Times New Roman"/>
                <w:kern w:val="0"/>
                <w:sz w:val="24"/>
                <w:szCs w:val="24"/>
                <w14:ligatures w14:val="none"/>
              </w:rPr>
              <w:t xml:space="preserve">Kurum içi memnuniyet, iletişim ve iş birliğinin geliştirilmesi  </w:t>
            </w:r>
          </w:p>
          <w:p w14:paraId="23293F24" w14:textId="77777777" w:rsidR="007000C4" w:rsidRPr="008049FA" w:rsidRDefault="007000C4" w:rsidP="0008122D">
            <w:pPr>
              <w:spacing w:after="0" w:line="240" w:lineRule="auto"/>
              <w:jc w:val="both"/>
              <w:rPr>
                <w:rFonts w:ascii="Times New Roman" w:hAnsi="Times New Roman"/>
                <w:kern w:val="0"/>
                <w:sz w:val="24"/>
                <w:szCs w:val="24"/>
                <w14:ligatures w14:val="none"/>
              </w:rPr>
            </w:pPr>
            <w:r w:rsidRPr="008049FA">
              <w:rPr>
                <w:rFonts w:ascii="Times New Roman" w:hAnsi="Times New Roman"/>
                <w:b/>
                <w:bCs/>
                <w:kern w:val="0"/>
                <w:sz w:val="24"/>
                <w:szCs w:val="24"/>
                <w14:ligatures w14:val="none"/>
              </w:rPr>
              <w:t>Strateji 1.1.:</w:t>
            </w:r>
            <w:r w:rsidRPr="008049FA">
              <w:rPr>
                <w:rFonts w:ascii="Times New Roman" w:hAnsi="Times New Roman"/>
                <w:kern w:val="0"/>
                <w:sz w:val="24"/>
                <w:szCs w:val="24"/>
                <w14:ligatures w14:val="none"/>
              </w:rPr>
              <w:t xml:space="preserve"> Anabilim dalı öğretim elemanları ile doktora öğrencilerinin iletişimini ve aidiyet duygusunu güçlendirmek </w:t>
            </w:r>
          </w:p>
          <w:p w14:paraId="0068018D" w14:textId="77777777" w:rsidR="007000C4" w:rsidRPr="00856739" w:rsidRDefault="007000C4" w:rsidP="0008122D">
            <w:pPr>
              <w:spacing w:after="0" w:line="240" w:lineRule="auto"/>
              <w:jc w:val="both"/>
              <w:rPr>
                <w:rFonts w:ascii="Times New Roman" w:hAnsi="Times New Roman"/>
                <w:kern w:val="0"/>
                <w:sz w:val="24"/>
                <w:szCs w:val="24"/>
                <w14:ligatures w14:val="none"/>
              </w:rPr>
            </w:pPr>
            <w:r w:rsidRPr="008049FA">
              <w:rPr>
                <w:rFonts w:ascii="Times New Roman" w:hAnsi="Times New Roman"/>
                <w:b/>
                <w:bCs/>
                <w:kern w:val="0"/>
                <w:sz w:val="24"/>
                <w:szCs w:val="24"/>
                <w14:ligatures w14:val="none"/>
              </w:rPr>
              <w:t>Strateji 1.2.:</w:t>
            </w:r>
            <w:r w:rsidRPr="008049FA">
              <w:rPr>
                <w:rFonts w:ascii="Times New Roman" w:hAnsi="Times New Roman"/>
                <w:kern w:val="0"/>
                <w:sz w:val="24"/>
                <w:szCs w:val="24"/>
                <w14:ligatures w14:val="none"/>
              </w:rPr>
              <w:t xml:space="preserve"> Anabilim dalı içinde çeşitli etkinlikler düzenlemek</w:t>
            </w:r>
          </w:p>
        </w:tc>
      </w:tr>
      <w:tr w:rsidR="007000C4" w:rsidRPr="006822A5" w14:paraId="7BCAA689" w14:textId="77777777" w:rsidTr="0008122D">
        <w:trPr>
          <w:trHeight w:val="277"/>
        </w:trPr>
        <w:tc>
          <w:tcPr>
            <w:tcW w:w="4097" w:type="dxa"/>
            <w:vMerge w:val="restart"/>
          </w:tcPr>
          <w:p w14:paraId="5723FC9F" w14:textId="77777777" w:rsidR="007000C4" w:rsidRPr="00856739" w:rsidRDefault="007000C4" w:rsidP="0008122D">
            <w:pPr>
              <w:widowControl w:val="0"/>
              <w:autoSpaceDE w:val="0"/>
              <w:autoSpaceDN w:val="0"/>
              <w:spacing w:before="143" w:after="0" w:line="240" w:lineRule="auto"/>
              <w:ind w:left="107"/>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Performans</w:t>
            </w:r>
            <w:r w:rsidRPr="00856739">
              <w:rPr>
                <w:rFonts w:asciiTheme="majorBidi" w:eastAsia="Times New Roman" w:hAnsiTheme="majorBidi" w:cstheme="majorBidi"/>
                <w:b/>
                <w:spacing w:val="-4"/>
                <w:kern w:val="0"/>
                <w:sz w:val="24"/>
                <w:szCs w:val="24"/>
                <w14:ligatures w14:val="none"/>
              </w:rPr>
              <w:t xml:space="preserve"> </w:t>
            </w:r>
            <w:r w:rsidRPr="00856739">
              <w:rPr>
                <w:rFonts w:asciiTheme="majorBidi" w:eastAsia="Times New Roman" w:hAnsiTheme="majorBidi" w:cstheme="majorBidi"/>
                <w:b/>
                <w:kern w:val="0"/>
                <w:sz w:val="24"/>
                <w:szCs w:val="24"/>
                <w14:ligatures w14:val="none"/>
              </w:rPr>
              <w:t>Göstergeleri</w:t>
            </w:r>
          </w:p>
        </w:tc>
        <w:tc>
          <w:tcPr>
            <w:tcW w:w="1189" w:type="dxa"/>
            <w:gridSpan w:val="2"/>
          </w:tcPr>
          <w:p w14:paraId="1A9F33FC" w14:textId="77777777" w:rsidR="007000C4" w:rsidRPr="00856739" w:rsidRDefault="007000C4" w:rsidP="0008122D">
            <w:pPr>
              <w:widowControl w:val="0"/>
              <w:autoSpaceDE w:val="0"/>
              <w:autoSpaceDN w:val="0"/>
              <w:spacing w:before="1" w:after="0" w:line="257" w:lineRule="exact"/>
              <w:ind w:left="355"/>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2024</w:t>
            </w:r>
          </w:p>
        </w:tc>
        <w:tc>
          <w:tcPr>
            <w:tcW w:w="1093" w:type="dxa"/>
            <w:gridSpan w:val="2"/>
          </w:tcPr>
          <w:p w14:paraId="689A0450" w14:textId="77777777" w:rsidR="007000C4" w:rsidRPr="00856739" w:rsidRDefault="007000C4" w:rsidP="0008122D">
            <w:pPr>
              <w:widowControl w:val="0"/>
              <w:autoSpaceDE w:val="0"/>
              <w:autoSpaceDN w:val="0"/>
              <w:spacing w:before="1" w:after="0" w:line="257" w:lineRule="exact"/>
              <w:ind w:left="306"/>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2025</w:t>
            </w:r>
          </w:p>
        </w:tc>
        <w:tc>
          <w:tcPr>
            <w:tcW w:w="1192" w:type="dxa"/>
            <w:gridSpan w:val="2"/>
          </w:tcPr>
          <w:p w14:paraId="77A472FC" w14:textId="77777777" w:rsidR="007000C4" w:rsidRPr="00856739" w:rsidRDefault="007000C4" w:rsidP="0008122D">
            <w:pPr>
              <w:widowControl w:val="0"/>
              <w:autoSpaceDE w:val="0"/>
              <w:autoSpaceDN w:val="0"/>
              <w:spacing w:before="1" w:after="0" w:line="257" w:lineRule="exact"/>
              <w:ind w:left="353"/>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2026</w:t>
            </w:r>
          </w:p>
        </w:tc>
        <w:tc>
          <w:tcPr>
            <w:tcW w:w="1191" w:type="dxa"/>
            <w:gridSpan w:val="2"/>
          </w:tcPr>
          <w:p w14:paraId="7ADC2C66" w14:textId="77777777" w:rsidR="007000C4" w:rsidRPr="00856739" w:rsidRDefault="007000C4" w:rsidP="0008122D">
            <w:pPr>
              <w:widowControl w:val="0"/>
              <w:autoSpaceDE w:val="0"/>
              <w:autoSpaceDN w:val="0"/>
              <w:spacing w:before="1" w:after="0" w:line="257" w:lineRule="exact"/>
              <w:ind w:left="352"/>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2027</w:t>
            </w:r>
          </w:p>
        </w:tc>
        <w:tc>
          <w:tcPr>
            <w:tcW w:w="1286" w:type="dxa"/>
            <w:gridSpan w:val="2"/>
          </w:tcPr>
          <w:p w14:paraId="6BA032D3" w14:textId="77777777" w:rsidR="007000C4" w:rsidRPr="00856739" w:rsidRDefault="007000C4" w:rsidP="0008122D">
            <w:pPr>
              <w:widowControl w:val="0"/>
              <w:autoSpaceDE w:val="0"/>
              <w:autoSpaceDN w:val="0"/>
              <w:spacing w:before="1" w:after="0" w:line="257" w:lineRule="exact"/>
              <w:ind w:left="397"/>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2028</w:t>
            </w:r>
          </w:p>
        </w:tc>
      </w:tr>
      <w:tr w:rsidR="007000C4" w:rsidRPr="006822A5" w14:paraId="6EE04408" w14:textId="77777777" w:rsidTr="0008122D">
        <w:trPr>
          <w:trHeight w:val="275"/>
        </w:trPr>
        <w:tc>
          <w:tcPr>
            <w:tcW w:w="4097" w:type="dxa"/>
            <w:vMerge/>
            <w:tcBorders>
              <w:top w:val="nil"/>
            </w:tcBorders>
          </w:tcPr>
          <w:p w14:paraId="2863C68A"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3" w:type="dxa"/>
          </w:tcPr>
          <w:p w14:paraId="16C45DD9" w14:textId="77777777" w:rsidR="007000C4" w:rsidRPr="00856739" w:rsidRDefault="007000C4" w:rsidP="0008122D">
            <w:pPr>
              <w:widowControl w:val="0"/>
              <w:autoSpaceDE w:val="0"/>
              <w:autoSpaceDN w:val="0"/>
              <w:spacing w:after="0" w:line="256" w:lineRule="exact"/>
              <w:ind w:left="203"/>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H</w:t>
            </w:r>
          </w:p>
        </w:tc>
        <w:tc>
          <w:tcPr>
            <w:tcW w:w="596" w:type="dxa"/>
          </w:tcPr>
          <w:p w14:paraId="06510CC7" w14:textId="77777777" w:rsidR="007000C4" w:rsidRPr="00856739" w:rsidRDefault="007000C4" w:rsidP="0008122D">
            <w:pPr>
              <w:widowControl w:val="0"/>
              <w:autoSpaceDE w:val="0"/>
              <w:autoSpaceDN w:val="0"/>
              <w:spacing w:after="0" w:line="256" w:lineRule="exact"/>
              <w:ind w:left="206"/>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G</w:t>
            </w:r>
          </w:p>
        </w:tc>
        <w:tc>
          <w:tcPr>
            <w:tcW w:w="495" w:type="dxa"/>
          </w:tcPr>
          <w:p w14:paraId="6E63D195" w14:textId="77777777" w:rsidR="007000C4" w:rsidRPr="00856739" w:rsidRDefault="007000C4" w:rsidP="0008122D">
            <w:pPr>
              <w:widowControl w:val="0"/>
              <w:autoSpaceDE w:val="0"/>
              <w:autoSpaceDN w:val="0"/>
              <w:spacing w:after="0" w:line="256" w:lineRule="exact"/>
              <w:ind w:left="155"/>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H</w:t>
            </w:r>
          </w:p>
        </w:tc>
        <w:tc>
          <w:tcPr>
            <w:tcW w:w="598" w:type="dxa"/>
          </w:tcPr>
          <w:p w14:paraId="066C302D" w14:textId="77777777" w:rsidR="007000C4" w:rsidRPr="00856739" w:rsidRDefault="007000C4" w:rsidP="0008122D">
            <w:pPr>
              <w:widowControl w:val="0"/>
              <w:autoSpaceDE w:val="0"/>
              <w:autoSpaceDN w:val="0"/>
              <w:spacing w:after="0" w:line="256" w:lineRule="exact"/>
              <w:ind w:left="8"/>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G</w:t>
            </w:r>
          </w:p>
        </w:tc>
        <w:tc>
          <w:tcPr>
            <w:tcW w:w="596" w:type="dxa"/>
          </w:tcPr>
          <w:p w14:paraId="7F80E950" w14:textId="77777777" w:rsidR="007000C4" w:rsidRPr="00856739" w:rsidRDefault="007000C4" w:rsidP="0008122D">
            <w:pPr>
              <w:widowControl w:val="0"/>
              <w:autoSpaceDE w:val="0"/>
              <w:autoSpaceDN w:val="0"/>
              <w:spacing w:after="0" w:line="256" w:lineRule="exact"/>
              <w:ind w:right="195"/>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H</w:t>
            </w:r>
          </w:p>
        </w:tc>
        <w:tc>
          <w:tcPr>
            <w:tcW w:w="596" w:type="dxa"/>
          </w:tcPr>
          <w:p w14:paraId="0F83A065" w14:textId="77777777" w:rsidR="007000C4" w:rsidRPr="00856739" w:rsidRDefault="007000C4" w:rsidP="0008122D">
            <w:pPr>
              <w:widowControl w:val="0"/>
              <w:autoSpaceDE w:val="0"/>
              <w:autoSpaceDN w:val="0"/>
              <w:spacing w:after="0" w:line="256" w:lineRule="exact"/>
              <w:ind w:left="3"/>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G</w:t>
            </w:r>
          </w:p>
        </w:tc>
        <w:tc>
          <w:tcPr>
            <w:tcW w:w="597" w:type="dxa"/>
          </w:tcPr>
          <w:p w14:paraId="47ACFFC2" w14:textId="77777777" w:rsidR="007000C4" w:rsidRPr="00856739" w:rsidRDefault="007000C4" w:rsidP="0008122D">
            <w:pPr>
              <w:widowControl w:val="0"/>
              <w:autoSpaceDE w:val="0"/>
              <w:autoSpaceDN w:val="0"/>
              <w:spacing w:after="0" w:line="256" w:lineRule="exact"/>
              <w:ind w:right="197"/>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H</w:t>
            </w:r>
          </w:p>
        </w:tc>
        <w:tc>
          <w:tcPr>
            <w:tcW w:w="594" w:type="dxa"/>
          </w:tcPr>
          <w:p w14:paraId="52DC90BD" w14:textId="77777777" w:rsidR="007000C4" w:rsidRPr="00856739" w:rsidRDefault="007000C4" w:rsidP="0008122D">
            <w:pPr>
              <w:widowControl w:val="0"/>
              <w:autoSpaceDE w:val="0"/>
              <w:autoSpaceDN w:val="0"/>
              <w:spacing w:after="0" w:line="256" w:lineRule="exact"/>
              <w:ind w:left="1"/>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G</w:t>
            </w:r>
          </w:p>
        </w:tc>
        <w:tc>
          <w:tcPr>
            <w:tcW w:w="596" w:type="dxa"/>
          </w:tcPr>
          <w:p w14:paraId="72A985A3" w14:textId="77777777" w:rsidR="007000C4" w:rsidRPr="00856739" w:rsidRDefault="007000C4" w:rsidP="0008122D">
            <w:pPr>
              <w:widowControl w:val="0"/>
              <w:autoSpaceDE w:val="0"/>
              <w:autoSpaceDN w:val="0"/>
              <w:spacing w:after="0" w:line="256" w:lineRule="exact"/>
              <w:ind w:left="2"/>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H</w:t>
            </w:r>
          </w:p>
        </w:tc>
        <w:tc>
          <w:tcPr>
            <w:tcW w:w="690" w:type="dxa"/>
          </w:tcPr>
          <w:p w14:paraId="6C78BC64" w14:textId="77777777" w:rsidR="007000C4" w:rsidRPr="00856739" w:rsidRDefault="007000C4" w:rsidP="0008122D">
            <w:pPr>
              <w:widowControl w:val="0"/>
              <w:autoSpaceDE w:val="0"/>
              <w:autoSpaceDN w:val="0"/>
              <w:spacing w:after="0" w:line="256" w:lineRule="exact"/>
              <w:jc w:val="both"/>
              <w:rPr>
                <w:rFonts w:asciiTheme="majorBidi" w:eastAsia="Times New Roman" w:hAnsiTheme="majorBidi" w:cstheme="majorBidi"/>
                <w:b/>
                <w:kern w:val="0"/>
                <w:sz w:val="24"/>
                <w:szCs w:val="24"/>
                <w14:ligatures w14:val="none"/>
              </w:rPr>
            </w:pPr>
            <w:r w:rsidRPr="00856739">
              <w:rPr>
                <w:rFonts w:asciiTheme="majorBidi" w:eastAsia="Times New Roman" w:hAnsiTheme="majorBidi" w:cstheme="majorBidi"/>
                <w:b/>
                <w:kern w:val="0"/>
                <w:sz w:val="24"/>
                <w:szCs w:val="24"/>
                <w14:ligatures w14:val="none"/>
              </w:rPr>
              <w:t>G</w:t>
            </w:r>
          </w:p>
        </w:tc>
      </w:tr>
      <w:tr w:rsidR="007000C4" w:rsidRPr="006822A5" w14:paraId="7F5B1DA2" w14:textId="77777777" w:rsidTr="0008122D">
        <w:trPr>
          <w:trHeight w:val="551"/>
        </w:trPr>
        <w:tc>
          <w:tcPr>
            <w:tcW w:w="4097" w:type="dxa"/>
          </w:tcPr>
          <w:p w14:paraId="2C9EE2EA" w14:textId="77777777" w:rsidR="007000C4" w:rsidRPr="00856739" w:rsidRDefault="007000C4"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Akademik personelin memnuniyetini ölçen anket sayısı</w:t>
            </w:r>
          </w:p>
        </w:tc>
        <w:tc>
          <w:tcPr>
            <w:tcW w:w="593" w:type="dxa"/>
            <w:vAlign w:val="center"/>
          </w:tcPr>
          <w:p w14:paraId="6673F629" w14:textId="77777777" w:rsidR="007000C4" w:rsidRPr="00856739" w:rsidRDefault="007000C4"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6" w:type="dxa"/>
            <w:vAlign w:val="center"/>
          </w:tcPr>
          <w:p w14:paraId="09B763DB"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495" w:type="dxa"/>
            <w:vAlign w:val="center"/>
          </w:tcPr>
          <w:p w14:paraId="5B7E7DAE" w14:textId="77777777" w:rsidR="007000C4" w:rsidRPr="00856739" w:rsidRDefault="007000C4"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8" w:type="dxa"/>
            <w:vAlign w:val="center"/>
          </w:tcPr>
          <w:p w14:paraId="1EA87419"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1</w:t>
            </w:r>
          </w:p>
        </w:tc>
        <w:tc>
          <w:tcPr>
            <w:tcW w:w="596" w:type="dxa"/>
            <w:vAlign w:val="center"/>
          </w:tcPr>
          <w:p w14:paraId="3F7AAE89" w14:textId="77777777" w:rsidR="007000C4" w:rsidRPr="00856739" w:rsidRDefault="007000C4"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6" w:type="dxa"/>
            <w:vAlign w:val="center"/>
          </w:tcPr>
          <w:p w14:paraId="6086943C"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25F1B32A" w14:textId="77777777" w:rsidR="007000C4" w:rsidRPr="00856739" w:rsidRDefault="007000C4"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4" w:type="dxa"/>
            <w:vAlign w:val="center"/>
          </w:tcPr>
          <w:p w14:paraId="44732547"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1069F887" w14:textId="77777777" w:rsidR="007000C4" w:rsidRPr="00856739" w:rsidRDefault="007000C4"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690" w:type="dxa"/>
            <w:vAlign w:val="center"/>
          </w:tcPr>
          <w:p w14:paraId="4C6FFD74"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7000C4" w:rsidRPr="006822A5" w14:paraId="06F4F61A" w14:textId="77777777" w:rsidTr="0008122D">
        <w:trPr>
          <w:trHeight w:val="551"/>
        </w:trPr>
        <w:tc>
          <w:tcPr>
            <w:tcW w:w="4097" w:type="dxa"/>
          </w:tcPr>
          <w:p w14:paraId="658CCF87" w14:textId="77777777" w:rsidR="007000C4" w:rsidRPr="00856739" w:rsidRDefault="007000C4" w:rsidP="0008122D">
            <w:pPr>
              <w:widowControl w:val="0"/>
              <w:autoSpaceDE w:val="0"/>
              <w:autoSpaceDN w:val="0"/>
              <w:spacing w:after="0" w:line="276" w:lineRule="exact"/>
              <w:ind w:left="107" w:right="93"/>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Ders dışı etkinlik sayısı</w:t>
            </w:r>
          </w:p>
        </w:tc>
        <w:tc>
          <w:tcPr>
            <w:tcW w:w="593" w:type="dxa"/>
            <w:vAlign w:val="center"/>
          </w:tcPr>
          <w:p w14:paraId="66025BA9" w14:textId="77777777" w:rsidR="007000C4" w:rsidRPr="00856739" w:rsidRDefault="007000C4" w:rsidP="0008122D">
            <w:pPr>
              <w:widowControl w:val="0"/>
              <w:autoSpaceDE w:val="0"/>
              <w:autoSpaceDN w:val="0"/>
              <w:spacing w:before="135" w:after="0" w:line="240" w:lineRule="auto"/>
              <w:ind w:left="177"/>
              <w:jc w:val="both"/>
              <w:rPr>
                <w:rFonts w:asciiTheme="majorBidi" w:eastAsia="Times New Roman" w:hAnsiTheme="majorBidi" w:cstheme="majorBidi"/>
                <w:kern w:val="0"/>
                <w:sz w:val="24"/>
                <w:szCs w:val="24"/>
                <w14:ligatures w14:val="none"/>
              </w:rPr>
            </w:pPr>
            <w:r>
              <w:rPr>
                <w:rFonts w:asciiTheme="majorBidi" w:hAnsiTheme="majorBidi" w:cstheme="majorBidi"/>
                <w:sz w:val="24"/>
                <w:szCs w:val="24"/>
              </w:rPr>
              <w:t>1</w:t>
            </w:r>
          </w:p>
        </w:tc>
        <w:tc>
          <w:tcPr>
            <w:tcW w:w="596" w:type="dxa"/>
            <w:vAlign w:val="center"/>
          </w:tcPr>
          <w:p w14:paraId="038358A3"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495" w:type="dxa"/>
            <w:vAlign w:val="center"/>
          </w:tcPr>
          <w:p w14:paraId="60EC0A74" w14:textId="77777777" w:rsidR="007000C4" w:rsidRPr="00856739" w:rsidRDefault="007000C4" w:rsidP="0008122D">
            <w:pPr>
              <w:widowControl w:val="0"/>
              <w:autoSpaceDE w:val="0"/>
              <w:autoSpaceDN w:val="0"/>
              <w:spacing w:before="135" w:after="0" w:line="240" w:lineRule="auto"/>
              <w:ind w:left="128"/>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8" w:type="dxa"/>
            <w:vAlign w:val="center"/>
          </w:tcPr>
          <w:p w14:paraId="5A59E88B"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2</w:t>
            </w:r>
          </w:p>
        </w:tc>
        <w:tc>
          <w:tcPr>
            <w:tcW w:w="596" w:type="dxa"/>
            <w:vAlign w:val="center"/>
          </w:tcPr>
          <w:p w14:paraId="463B059F" w14:textId="77777777" w:rsidR="007000C4" w:rsidRPr="00856739" w:rsidRDefault="007000C4" w:rsidP="0008122D">
            <w:pPr>
              <w:widowControl w:val="0"/>
              <w:autoSpaceDE w:val="0"/>
              <w:autoSpaceDN w:val="0"/>
              <w:spacing w:before="135" w:after="0" w:line="240" w:lineRule="auto"/>
              <w:ind w:right="168"/>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6" w:type="dxa"/>
            <w:vAlign w:val="center"/>
          </w:tcPr>
          <w:p w14:paraId="61537888"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7" w:type="dxa"/>
            <w:vAlign w:val="center"/>
          </w:tcPr>
          <w:p w14:paraId="5A43D617" w14:textId="77777777" w:rsidR="007000C4" w:rsidRPr="00856739" w:rsidRDefault="007000C4" w:rsidP="0008122D">
            <w:pPr>
              <w:widowControl w:val="0"/>
              <w:autoSpaceDE w:val="0"/>
              <w:autoSpaceDN w:val="0"/>
              <w:spacing w:before="135" w:after="0" w:line="240" w:lineRule="auto"/>
              <w:ind w:right="170"/>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594" w:type="dxa"/>
            <w:vAlign w:val="center"/>
          </w:tcPr>
          <w:p w14:paraId="777924A4"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c>
          <w:tcPr>
            <w:tcW w:w="596" w:type="dxa"/>
            <w:vAlign w:val="center"/>
          </w:tcPr>
          <w:p w14:paraId="7D7FA42E" w14:textId="77777777" w:rsidR="007000C4" w:rsidRPr="00856739" w:rsidRDefault="007000C4" w:rsidP="0008122D">
            <w:pPr>
              <w:widowControl w:val="0"/>
              <w:autoSpaceDE w:val="0"/>
              <w:autoSpaceDN w:val="0"/>
              <w:spacing w:before="135" w:after="0" w:line="240" w:lineRule="auto"/>
              <w:ind w:left="154" w:right="152"/>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1</w:t>
            </w:r>
          </w:p>
        </w:tc>
        <w:tc>
          <w:tcPr>
            <w:tcW w:w="690" w:type="dxa"/>
            <w:vAlign w:val="center"/>
          </w:tcPr>
          <w:p w14:paraId="24CA7B9D" w14:textId="77777777" w:rsidR="007000C4" w:rsidRPr="00856739" w:rsidRDefault="007000C4" w:rsidP="0008122D">
            <w:pPr>
              <w:widowControl w:val="0"/>
              <w:autoSpaceDE w:val="0"/>
              <w:autoSpaceDN w:val="0"/>
              <w:spacing w:after="0" w:line="240" w:lineRule="auto"/>
              <w:jc w:val="both"/>
              <w:rPr>
                <w:rFonts w:asciiTheme="majorBidi" w:eastAsia="Times New Roman" w:hAnsiTheme="majorBidi" w:cstheme="majorBidi"/>
                <w:kern w:val="0"/>
                <w:sz w:val="24"/>
                <w:szCs w:val="24"/>
                <w14:ligatures w14:val="none"/>
              </w:rPr>
            </w:pPr>
          </w:p>
        </w:tc>
      </w:tr>
      <w:tr w:rsidR="007000C4" w:rsidRPr="006822A5" w14:paraId="11A7D045" w14:textId="77777777" w:rsidTr="0008122D">
        <w:trPr>
          <w:trHeight w:val="58"/>
        </w:trPr>
        <w:tc>
          <w:tcPr>
            <w:tcW w:w="4097" w:type="dxa"/>
            <w:vAlign w:val="center"/>
          </w:tcPr>
          <w:p w14:paraId="7E920288" w14:textId="77777777" w:rsidR="007000C4" w:rsidRPr="00856739" w:rsidRDefault="007000C4" w:rsidP="0008122D">
            <w:pPr>
              <w:widowControl w:val="0"/>
              <w:autoSpaceDE w:val="0"/>
              <w:autoSpaceDN w:val="0"/>
              <w:spacing w:after="0" w:line="274" w:lineRule="exact"/>
              <w:ind w:left="107"/>
              <w:jc w:val="both"/>
              <w:rPr>
                <w:rFonts w:asciiTheme="majorBidi" w:eastAsia="Times New Roman" w:hAnsiTheme="majorBidi" w:cstheme="majorBidi"/>
                <w:kern w:val="0"/>
                <w:sz w:val="24"/>
                <w:szCs w:val="24"/>
                <w14:ligatures w14:val="none"/>
              </w:rPr>
            </w:pPr>
            <w:r w:rsidRPr="00856739">
              <w:rPr>
                <w:rFonts w:asciiTheme="majorBidi" w:hAnsiTheme="majorBidi" w:cstheme="majorBidi"/>
                <w:sz w:val="24"/>
                <w:szCs w:val="24"/>
              </w:rPr>
              <w:t>Değerlendirme</w:t>
            </w:r>
          </w:p>
        </w:tc>
        <w:tc>
          <w:tcPr>
            <w:tcW w:w="5951" w:type="dxa"/>
            <w:gridSpan w:val="10"/>
          </w:tcPr>
          <w:p w14:paraId="4278195C" w14:textId="77777777" w:rsidR="007000C4" w:rsidRPr="00BB69BB" w:rsidRDefault="007000C4" w:rsidP="0008122D">
            <w:pPr>
              <w:spacing w:before="100" w:beforeAutospacing="1" w:after="100" w:afterAutospacing="1" w:line="240" w:lineRule="auto"/>
              <w:jc w:val="both"/>
              <w:outlineLvl w:val="2"/>
              <w:rPr>
                <w:rFonts w:asciiTheme="majorBidi" w:hAnsiTheme="majorBidi" w:cstheme="majorBidi"/>
                <w:b/>
                <w:bCs/>
                <w:sz w:val="24"/>
                <w:szCs w:val="24"/>
              </w:rPr>
            </w:pPr>
            <w:r w:rsidRPr="00BB69BB">
              <w:rPr>
                <w:rFonts w:asciiTheme="majorBidi" w:hAnsiTheme="majorBidi" w:cstheme="majorBidi"/>
                <w:b/>
                <w:bCs/>
                <w:sz w:val="24"/>
                <w:szCs w:val="24"/>
              </w:rPr>
              <w:t>Stratejik Hedef: Kurum içi memnuniyet, iletişim ve iş birliğinin geliştirilmesi</w:t>
            </w:r>
          </w:p>
          <w:p w14:paraId="1471C54D"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Bu stratejik hedef kapsamında, anabilim dalı bünyesinde görev yapan akademik personelin memnuniyet düzeyi ile öğretim elemanları ve öğrenciler arasındaki etkileşimi güçlendirmeye yönelik faaliyetler temel göstergeler olarak ele alınmıştır.</w:t>
            </w:r>
          </w:p>
          <w:p w14:paraId="6BAADD82"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2025 yılında akademik personele yönelik bir memnuniyet anketinin düzenli olarak uygulanması ve bu ankette memnuniyet oranının %75 olarak gerçekleşmesi, kurum içi memnuniyetin ve iletişim düzeyinin genel olarak olumlu bir seyir izlediğini göstermektedir. Ayrıca yıl içerisinde gerçekleştirilen ders dışı etkinlikler, akademik etkileşimi ve iş birliğini artırarak kurumsal aidiyet duygusunun güçlendirilmesine katkı sağlamıştır. Bu çerçevede, stratejik hedef doğrultusunda önemli ölçüde ilerleme kaydedildiği değerlendirilmektedir.</w:t>
            </w:r>
          </w:p>
          <w:p w14:paraId="1500A975" w14:textId="77777777" w:rsidR="007000C4" w:rsidRPr="00BB69BB" w:rsidRDefault="007000C4" w:rsidP="0008122D">
            <w:pPr>
              <w:spacing w:before="100" w:beforeAutospacing="1" w:after="100" w:afterAutospacing="1" w:line="240" w:lineRule="auto"/>
              <w:jc w:val="both"/>
              <w:outlineLvl w:val="2"/>
              <w:rPr>
                <w:rFonts w:asciiTheme="majorBidi" w:hAnsiTheme="majorBidi" w:cstheme="majorBidi"/>
                <w:b/>
                <w:bCs/>
                <w:sz w:val="24"/>
                <w:szCs w:val="24"/>
              </w:rPr>
            </w:pPr>
            <w:r w:rsidRPr="00BB69BB">
              <w:rPr>
                <w:rFonts w:asciiTheme="majorBidi" w:hAnsiTheme="majorBidi" w:cstheme="majorBidi"/>
                <w:b/>
                <w:bCs/>
                <w:sz w:val="24"/>
                <w:szCs w:val="24"/>
              </w:rPr>
              <w:t>Strateji 1.1.: Anabilim dalı öğretim elemanları ile doktora öğrencilerinin iletişimini ve aidiyet duygusunu güçlendirmek</w:t>
            </w:r>
          </w:p>
          <w:p w14:paraId="5571B044"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Bu strateji kapsamında akademik personelin memnuniyet düzeyini ölçmeye yönelik olarak 2025 yılında bir adet memnuniyet anketi uygulanmıştır. Anket sonuçlarına göre öğretim üyelerinin memnuniyet oranının %75 olarak gerçekleşmesi, anabilim dalı içerisinde iletişim ve çalışma ortamının genel olarak olumlu algılandığını ortaya koymaktadır.</w:t>
            </w:r>
          </w:p>
          <w:p w14:paraId="0583F47A" w14:textId="77777777" w:rsidR="007000C4"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Ayrıca, mezunlar ve mevcut öğrencilerle akademik personeli bir araya getiren etkinlikler sayesinde öğretim elemanları ile doktora öğrencileri arasındaki iletişim güçlenmiş, kuruma yönelik aidiyet duygusu desteklenmiştir. Bu kapsamda, Strateji 1.1 doğrultusunda belirlenen hedeflerle uyumlu bir gerçekleşme sağlandığı değerlendirilmektedir.</w:t>
            </w:r>
          </w:p>
          <w:p w14:paraId="3246A2A5" w14:textId="77777777" w:rsidR="007000C4" w:rsidRPr="00BB69BB" w:rsidRDefault="007000C4" w:rsidP="0008122D">
            <w:pPr>
              <w:spacing w:before="100" w:beforeAutospacing="1" w:after="100" w:afterAutospacing="1" w:line="240" w:lineRule="auto"/>
              <w:jc w:val="both"/>
              <w:rPr>
                <w:rFonts w:asciiTheme="majorBidi" w:hAnsiTheme="majorBidi" w:cstheme="majorBidi"/>
                <w:b/>
                <w:bCs/>
                <w:sz w:val="24"/>
                <w:szCs w:val="24"/>
              </w:rPr>
            </w:pPr>
            <w:r w:rsidRPr="00BB69BB">
              <w:rPr>
                <w:rFonts w:asciiTheme="majorBidi" w:hAnsiTheme="majorBidi" w:cstheme="majorBidi"/>
                <w:b/>
                <w:bCs/>
                <w:sz w:val="24"/>
                <w:szCs w:val="24"/>
              </w:rPr>
              <w:t>Strateji 1.2.: Anabilim dalı içinde çeşitli etkinlikler düzenlemek</w:t>
            </w:r>
          </w:p>
          <w:p w14:paraId="5ADA61DE"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Bu strateji doğrultusunda, 2025 yılı içerisinde hedeflenenin üzerinde olacak şekilde iki ders dışı etkinlik gerçekleştirilmiştir.</w:t>
            </w:r>
          </w:p>
          <w:p w14:paraId="06E957E5"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 xml:space="preserve">23 Mayıs 2025 tarihinde çevrim içi olarak düzenlenen Lisansüstü Mezunlar Buluşması etkinliğinde kalite süreçleri ele alınmış; mezunlar, öğrenciler ve öğretim elemanları arasında bilgi ve deneyim paylaşımı sağlanmıştır. Bunun yanı sıra, 18 Nisan 2025 tarihinde Arş. Gör. Dr. Mehmet Emin Kenanoğlu tarafından Dekanlık Konferans Salonunda gerçekleştirilen bölüm </w:t>
            </w:r>
            <w:proofErr w:type="gramStart"/>
            <w:r w:rsidRPr="00BB69BB">
              <w:rPr>
                <w:rFonts w:asciiTheme="majorBidi" w:hAnsiTheme="majorBidi" w:cstheme="majorBidi"/>
                <w:sz w:val="24"/>
                <w:szCs w:val="24"/>
              </w:rPr>
              <w:t>semineri,</w:t>
            </w:r>
            <w:proofErr w:type="gramEnd"/>
            <w:r w:rsidRPr="00BB69BB">
              <w:rPr>
                <w:rFonts w:asciiTheme="majorBidi" w:hAnsiTheme="majorBidi" w:cstheme="majorBidi"/>
                <w:sz w:val="24"/>
                <w:szCs w:val="24"/>
              </w:rPr>
              <w:t xml:space="preserve"> hem akademik içeriği hem de öğrenci katılımı açısından önemli bir etkinlik olmuştur. Etkinliğin </w:t>
            </w:r>
            <w:proofErr w:type="spellStart"/>
            <w:r w:rsidRPr="00BB69BB">
              <w:rPr>
                <w:rFonts w:asciiTheme="majorBidi" w:hAnsiTheme="majorBidi" w:cstheme="majorBidi"/>
                <w:sz w:val="24"/>
                <w:szCs w:val="24"/>
              </w:rPr>
              <w:t>moderatörlüğünün</w:t>
            </w:r>
            <w:proofErr w:type="spellEnd"/>
            <w:r w:rsidRPr="00BB69BB">
              <w:rPr>
                <w:rFonts w:asciiTheme="majorBidi" w:hAnsiTheme="majorBidi" w:cstheme="majorBidi"/>
                <w:sz w:val="24"/>
                <w:szCs w:val="24"/>
              </w:rPr>
              <w:t xml:space="preserve"> bölüm yönetimi tarafından yürütülmesi, kurumsal bütünlüğü ve akademik iş birliğini güçlendirmiştir.</w:t>
            </w:r>
          </w:p>
          <w:p w14:paraId="40DDA24A" w14:textId="77777777" w:rsidR="007000C4" w:rsidRPr="00BB69BB" w:rsidRDefault="007000C4" w:rsidP="0008122D">
            <w:pPr>
              <w:spacing w:before="100" w:beforeAutospacing="1" w:after="100" w:afterAutospacing="1" w:line="240" w:lineRule="auto"/>
              <w:jc w:val="both"/>
              <w:rPr>
                <w:rFonts w:asciiTheme="majorBidi" w:hAnsiTheme="majorBidi" w:cstheme="majorBidi"/>
                <w:sz w:val="24"/>
                <w:szCs w:val="24"/>
              </w:rPr>
            </w:pPr>
            <w:r w:rsidRPr="00BB69BB">
              <w:rPr>
                <w:rFonts w:asciiTheme="majorBidi" w:hAnsiTheme="majorBidi" w:cstheme="majorBidi"/>
                <w:sz w:val="24"/>
                <w:szCs w:val="24"/>
              </w:rPr>
              <w:t>Bu faaliyetler, anabilim dalı içinde akademik ve sosyal etkileşimi artırarak kurumsallaşma sürecine katkı sağlamış; Strateji 1.2 kapsamında belirlenen hedeflere başarıyla ulaşıldığını göstermiştir.</w:t>
            </w:r>
          </w:p>
        </w:tc>
      </w:tr>
    </w:tbl>
    <w:p w14:paraId="6DEDA34E" w14:textId="77777777" w:rsidR="007000C4" w:rsidRPr="00C56F2A" w:rsidRDefault="007000C4" w:rsidP="007000C4">
      <w:pPr>
        <w:spacing w:after="0" w:line="255" w:lineRule="exact"/>
        <w:ind w:left="112"/>
        <w:jc w:val="both"/>
        <w:rPr>
          <w:rFonts w:ascii="Times New Roman" w:eastAsia="Times New Roman" w:hAnsi="Times New Roman" w:cs="Times New Roman"/>
          <w:bCs/>
          <w:kern w:val="0"/>
          <w:sz w:val="24"/>
          <w14:ligatures w14:val="none"/>
        </w:rPr>
      </w:pPr>
      <w:r w:rsidRPr="00C56F2A">
        <w:rPr>
          <w:rFonts w:ascii="Times New Roman" w:eastAsia="Times New Roman" w:hAnsi="Times New Roman" w:cs="Arial"/>
          <w:b/>
          <w:kern w:val="0"/>
          <w:sz w:val="24"/>
          <w14:ligatures w14:val="none"/>
        </w:rPr>
        <w:t xml:space="preserve">   H: </w:t>
      </w:r>
      <w:r w:rsidRPr="00C56F2A">
        <w:rPr>
          <w:rFonts w:ascii="Times New Roman" w:eastAsia="Times New Roman" w:hAnsi="Times New Roman" w:cs="Arial"/>
          <w:bCs/>
          <w:kern w:val="0"/>
          <w:sz w:val="24"/>
          <w14:ligatures w14:val="none"/>
        </w:rPr>
        <w:t>Hedeflenen;</w:t>
      </w:r>
      <w:r w:rsidRPr="00C56F2A">
        <w:rPr>
          <w:rFonts w:ascii="Times New Roman" w:eastAsia="Times New Roman" w:hAnsi="Times New Roman" w:cs="Arial"/>
          <w:b/>
          <w:kern w:val="0"/>
          <w:sz w:val="24"/>
          <w14:ligatures w14:val="none"/>
        </w:rPr>
        <w:t xml:space="preserve"> G: </w:t>
      </w:r>
      <w:r w:rsidRPr="00C56F2A">
        <w:rPr>
          <w:rFonts w:ascii="Times New Roman" w:eastAsia="Times New Roman" w:hAnsi="Times New Roman" w:cs="Arial"/>
          <w:bCs/>
          <w:kern w:val="0"/>
          <w:sz w:val="24"/>
          <w14:ligatures w14:val="none"/>
        </w:rPr>
        <w:t>Gerçekleşme</w:t>
      </w:r>
    </w:p>
    <w:p w14:paraId="509EE909" w14:textId="77777777" w:rsidR="007000C4" w:rsidRPr="00C56F2A" w:rsidRDefault="007000C4" w:rsidP="007000C4">
      <w:pPr>
        <w:spacing w:after="0" w:line="255" w:lineRule="exact"/>
        <w:ind w:left="112"/>
        <w:jc w:val="both"/>
        <w:rPr>
          <w:rFonts w:ascii="Times New Roman" w:eastAsia="Times New Roman" w:hAnsi="Times New Roman" w:cs="Times New Roman"/>
          <w:b/>
          <w:kern w:val="0"/>
          <w:sz w:val="24"/>
          <w14:ligatures w14:val="none"/>
        </w:rPr>
      </w:pPr>
    </w:p>
    <w:p w14:paraId="08F282EC"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53"/>
    <w:rsid w:val="000639C5"/>
    <w:rsid w:val="000D3141"/>
    <w:rsid w:val="003D6AE6"/>
    <w:rsid w:val="004F5EF7"/>
    <w:rsid w:val="007000C4"/>
    <w:rsid w:val="00942D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545C"/>
  <w15:chartTrackingRefBased/>
  <w15:docId w15:val="{6477F45D-A0D1-4EBE-835F-6586B232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C4"/>
  </w:style>
  <w:style w:type="paragraph" w:styleId="Balk1">
    <w:name w:val="heading 1"/>
    <w:basedOn w:val="Normal"/>
    <w:next w:val="Normal"/>
    <w:link w:val="Balk1Char"/>
    <w:uiPriority w:val="9"/>
    <w:qFormat/>
    <w:rsid w:val="00942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42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42D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42D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42D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42D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2D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2D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2D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2D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42D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42D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42D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42D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42D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2D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2D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2D53"/>
    <w:rPr>
      <w:rFonts w:eastAsiaTheme="majorEastAsia" w:cstheme="majorBidi"/>
      <w:color w:val="272727" w:themeColor="text1" w:themeTint="D8"/>
    </w:rPr>
  </w:style>
  <w:style w:type="paragraph" w:styleId="KonuBal">
    <w:name w:val="Title"/>
    <w:basedOn w:val="Normal"/>
    <w:next w:val="Normal"/>
    <w:link w:val="KonuBalChar"/>
    <w:uiPriority w:val="10"/>
    <w:qFormat/>
    <w:rsid w:val="00942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2D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2D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2D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2D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2D53"/>
    <w:rPr>
      <w:i/>
      <w:iCs/>
      <w:color w:val="404040" w:themeColor="text1" w:themeTint="BF"/>
    </w:rPr>
  </w:style>
  <w:style w:type="paragraph" w:styleId="ListeParagraf">
    <w:name w:val="List Paragraph"/>
    <w:basedOn w:val="Normal"/>
    <w:uiPriority w:val="34"/>
    <w:qFormat/>
    <w:rsid w:val="00942D53"/>
    <w:pPr>
      <w:ind w:left="720"/>
      <w:contextualSpacing/>
    </w:pPr>
  </w:style>
  <w:style w:type="character" w:styleId="GlVurgulama">
    <w:name w:val="Intense Emphasis"/>
    <w:basedOn w:val="VarsaylanParagrafYazTipi"/>
    <w:uiPriority w:val="21"/>
    <w:qFormat/>
    <w:rsid w:val="00942D53"/>
    <w:rPr>
      <w:i/>
      <w:iCs/>
      <w:color w:val="2F5496" w:themeColor="accent1" w:themeShade="BF"/>
    </w:rPr>
  </w:style>
  <w:style w:type="paragraph" w:styleId="GlAlnt">
    <w:name w:val="Intense Quote"/>
    <w:basedOn w:val="Normal"/>
    <w:next w:val="Normal"/>
    <w:link w:val="GlAlntChar"/>
    <w:uiPriority w:val="30"/>
    <w:qFormat/>
    <w:rsid w:val="0094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42D53"/>
    <w:rPr>
      <w:i/>
      <w:iCs/>
      <w:color w:val="2F5496" w:themeColor="accent1" w:themeShade="BF"/>
    </w:rPr>
  </w:style>
  <w:style w:type="character" w:styleId="GlBavuru">
    <w:name w:val="Intense Reference"/>
    <w:basedOn w:val="VarsaylanParagrafYazTipi"/>
    <w:uiPriority w:val="32"/>
    <w:qFormat/>
    <w:rsid w:val="00942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2</cp:revision>
  <dcterms:created xsi:type="dcterms:W3CDTF">2026-01-17T15:34:00Z</dcterms:created>
  <dcterms:modified xsi:type="dcterms:W3CDTF">2026-01-17T15:34:00Z</dcterms:modified>
</cp:coreProperties>
</file>