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5FC5" w14:textId="77777777" w:rsidR="000C0D45" w:rsidRPr="0093062E" w:rsidRDefault="000C0D45" w:rsidP="000C0D45">
      <w:pPr>
        <w:spacing w:after="0" w:line="240" w:lineRule="auto"/>
        <w:jc w:val="both"/>
        <w:rPr>
          <w:rFonts w:ascii="Times New Roman" w:hAnsi="Times New Roman"/>
          <w:b/>
          <w:bCs/>
          <w:kern w:val="0"/>
          <w:sz w:val="24"/>
          <w:szCs w:val="24"/>
          <w14:ligatures w14:val="none"/>
        </w:rPr>
      </w:pPr>
      <w:r w:rsidRPr="0093062E">
        <w:rPr>
          <w:rFonts w:ascii="Times New Roman" w:hAnsi="Times New Roman"/>
          <w:b/>
          <w:bCs/>
          <w:kern w:val="0"/>
          <w:sz w:val="24"/>
          <w:szCs w:val="24"/>
          <w14:ligatures w14:val="none"/>
        </w:rPr>
        <w:t>ÇANAKKALE ONSEKİZ MART ÜNİVERSİTESİ LİSANSÜSTÜ EĞİTİM ENSTİTÜSÜ MALİYE ANABİLİM DALI TEZLİ YÜKSEK LİSANS PROGRAMI STRATEJİK PLANI (2024-2028)</w:t>
      </w:r>
    </w:p>
    <w:p w14:paraId="7A55ED31" w14:textId="77777777" w:rsidR="000C0D45" w:rsidRPr="0093062E" w:rsidRDefault="000C0D45" w:rsidP="000C0D45">
      <w:pPr>
        <w:widowControl w:val="0"/>
        <w:suppressAutoHyphens/>
        <w:spacing w:after="0" w:line="100" w:lineRule="atLeast"/>
        <w:jc w:val="both"/>
        <w:rPr>
          <w:rFonts w:ascii="Times New Roman" w:eastAsia="SimSun" w:hAnsi="Times New Roman" w:cs="Arial"/>
          <w:b/>
          <w:kern w:val="1"/>
          <w:sz w:val="24"/>
          <w:szCs w:val="24"/>
          <w:lang w:eastAsia="hi-IN" w:bidi="hi-IN"/>
          <w14:ligatures w14:val="none"/>
        </w:rPr>
      </w:pPr>
    </w:p>
    <w:p w14:paraId="4D796ED4" w14:textId="77777777" w:rsidR="000C0D45" w:rsidRPr="0093062E" w:rsidRDefault="000C0D45" w:rsidP="000C0D45">
      <w:pPr>
        <w:spacing w:after="0" w:line="240" w:lineRule="auto"/>
        <w:jc w:val="both"/>
        <w:rPr>
          <w:rFonts w:ascii="Times New Roman" w:hAnsi="Times New Roman"/>
          <w:b/>
          <w:bCs/>
          <w:kern w:val="0"/>
          <w:sz w:val="24"/>
          <w:szCs w:val="24"/>
          <w14:ligatures w14:val="none"/>
        </w:rPr>
      </w:pPr>
      <w:r w:rsidRPr="0093062E">
        <w:rPr>
          <w:rFonts w:ascii="Times New Roman" w:hAnsi="Times New Roman"/>
          <w:b/>
          <w:bCs/>
          <w:kern w:val="0"/>
          <w:sz w:val="24"/>
          <w:szCs w:val="24"/>
          <w14:ligatures w14:val="none"/>
        </w:rPr>
        <w:t xml:space="preserve">STRATEJİK AMAÇ: AR-GE, YENİLİKÇİLİK FAALİYETLERİNİ GELİŞTİRMEK </w:t>
      </w:r>
    </w:p>
    <w:p w14:paraId="469DA8EF"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Stratejik Hedef:</w:t>
      </w:r>
      <w:r w:rsidRPr="0093062E">
        <w:rPr>
          <w:rFonts w:ascii="Times New Roman" w:hAnsi="Times New Roman"/>
          <w:kern w:val="0"/>
          <w:sz w:val="24"/>
          <w:szCs w:val="24"/>
          <w14:ligatures w14:val="none"/>
        </w:rPr>
        <w:t xml:space="preserve"> Akademik beceri, nitelik ve etkin araştırma yapabilme kapasitesini artırmak </w:t>
      </w:r>
    </w:p>
    <w:p w14:paraId="2966C493"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1.1.:</w:t>
      </w:r>
      <w:r w:rsidRPr="0093062E">
        <w:rPr>
          <w:rFonts w:ascii="Times New Roman" w:hAnsi="Times New Roman"/>
          <w:kern w:val="0"/>
          <w:sz w:val="24"/>
          <w:szCs w:val="24"/>
          <w14:ligatures w14:val="none"/>
        </w:rPr>
        <w:t xml:space="preserve"> Yüksek lisans tez çalışmalarında devamlılığı sağlamak </w:t>
      </w:r>
    </w:p>
    <w:p w14:paraId="668FF685"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1.2.:</w:t>
      </w:r>
      <w:r w:rsidRPr="0093062E">
        <w:rPr>
          <w:rFonts w:ascii="Times New Roman" w:hAnsi="Times New Roman"/>
          <w:kern w:val="0"/>
          <w:sz w:val="24"/>
          <w:szCs w:val="24"/>
          <w14:ligatures w14:val="none"/>
        </w:rPr>
        <w:t xml:space="preserve"> Tezlerden üretilen ve çeşitli dergilerde yayınlanan çalışmaları teşvik etmek </w:t>
      </w:r>
    </w:p>
    <w:p w14:paraId="3BF13238"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1.3.:</w:t>
      </w:r>
      <w:r w:rsidRPr="0093062E">
        <w:rPr>
          <w:rFonts w:ascii="Times New Roman" w:hAnsi="Times New Roman"/>
          <w:kern w:val="0"/>
          <w:sz w:val="24"/>
          <w:szCs w:val="24"/>
          <w14:ligatures w14:val="none"/>
        </w:rPr>
        <w:t xml:space="preserve"> Yüksek lisans tezlerinden üretilen yayınların kalitesinin artmasını sağlamak.</w:t>
      </w:r>
    </w:p>
    <w:p w14:paraId="2F206962" w14:textId="77777777" w:rsidR="000C0D45" w:rsidRPr="0093062E" w:rsidRDefault="000C0D45" w:rsidP="000C0D45">
      <w:pPr>
        <w:widowControl w:val="0"/>
        <w:autoSpaceDE w:val="0"/>
        <w:autoSpaceDN w:val="0"/>
        <w:spacing w:after="1" w:line="240" w:lineRule="auto"/>
        <w:jc w:val="both"/>
        <w:rPr>
          <w:rFonts w:ascii="Times New Roman" w:eastAsia="Times New Roman" w:hAnsi="Times New Roman" w:cs="Times New Roman"/>
          <w:kern w:val="0"/>
          <w:sz w:val="24"/>
          <w:szCs w:val="24"/>
          <w14:ligatures w14:val="none"/>
        </w:rPr>
      </w:pPr>
    </w:p>
    <w:tbl>
      <w:tblPr>
        <w:tblW w:w="10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639"/>
        <w:gridCol w:w="641"/>
        <w:gridCol w:w="641"/>
        <w:gridCol w:w="744"/>
        <w:gridCol w:w="643"/>
        <w:gridCol w:w="686"/>
        <w:gridCol w:w="711"/>
        <w:gridCol w:w="708"/>
        <w:gridCol w:w="708"/>
        <w:gridCol w:w="708"/>
      </w:tblGrid>
      <w:tr w:rsidR="000C0D45" w:rsidRPr="0093062E" w14:paraId="073A0909" w14:textId="77777777" w:rsidTr="0008122D">
        <w:trPr>
          <w:trHeight w:val="273"/>
        </w:trPr>
        <w:tc>
          <w:tcPr>
            <w:tcW w:w="3209" w:type="dxa"/>
            <w:vMerge w:val="restart"/>
            <w:tcBorders>
              <w:bottom w:val="single" w:sz="6" w:space="0" w:color="000000"/>
            </w:tcBorders>
          </w:tcPr>
          <w:p w14:paraId="0977A2AE" w14:textId="77777777" w:rsidR="000C0D45" w:rsidRPr="0093062E" w:rsidRDefault="000C0D45" w:rsidP="0008122D">
            <w:pPr>
              <w:widowControl w:val="0"/>
              <w:autoSpaceDE w:val="0"/>
              <w:autoSpaceDN w:val="0"/>
              <w:spacing w:before="140" w:after="0" w:line="240" w:lineRule="auto"/>
              <w:ind w:left="10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Performans</w:t>
            </w:r>
            <w:r w:rsidRPr="0093062E">
              <w:rPr>
                <w:rFonts w:asciiTheme="majorBidi" w:eastAsia="Times New Roman" w:hAnsiTheme="majorBidi" w:cstheme="majorBidi"/>
                <w:b/>
                <w:spacing w:val="-4"/>
                <w:kern w:val="0"/>
                <w:sz w:val="24"/>
                <w14:ligatures w14:val="none"/>
              </w:rPr>
              <w:t xml:space="preserve"> </w:t>
            </w:r>
            <w:r w:rsidRPr="0093062E">
              <w:rPr>
                <w:rFonts w:asciiTheme="majorBidi" w:eastAsia="Times New Roman" w:hAnsiTheme="majorBidi" w:cstheme="majorBidi"/>
                <w:b/>
                <w:kern w:val="0"/>
                <w:sz w:val="24"/>
                <w14:ligatures w14:val="none"/>
              </w:rPr>
              <w:t>Göstergeleri</w:t>
            </w:r>
          </w:p>
        </w:tc>
        <w:tc>
          <w:tcPr>
            <w:tcW w:w="1280" w:type="dxa"/>
            <w:gridSpan w:val="2"/>
          </w:tcPr>
          <w:p w14:paraId="4DA8AB07" w14:textId="77777777" w:rsidR="000C0D45" w:rsidRPr="0093062E" w:rsidRDefault="000C0D45" w:rsidP="0008122D">
            <w:pPr>
              <w:widowControl w:val="0"/>
              <w:autoSpaceDE w:val="0"/>
              <w:autoSpaceDN w:val="0"/>
              <w:spacing w:after="0" w:line="253" w:lineRule="exact"/>
              <w:ind w:left="39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2024</w:t>
            </w:r>
          </w:p>
        </w:tc>
        <w:tc>
          <w:tcPr>
            <w:tcW w:w="1385" w:type="dxa"/>
            <w:gridSpan w:val="2"/>
          </w:tcPr>
          <w:p w14:paraId="5AB5FFC3" w14:textId="77777777" w:rsidR="000C0D45" w:rsidRPr="0093062E" w:rsidRDefault="000C0D45" w:rsidP="0008122D">
            <w:pPr>
              <w:widowControl w:val="0"/>
              <w:autoSpaceDE w:val="0"/>
              <w:autoSpaceDN w:val="0"/>
              <w:spacing w:after="0" w:line="253" w:lineRule="exact"/>
              <w:ind w:left="452"/>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2025</w:t>
            </w:r>
          </w:p>
        </w:tc>
        <w:tc>
          <w:tcPr>
            <w:tcW w:w="1329" w:type="dxa"/>
            <w:gridSpan w:val="2"/>
          </w:tcPr>
          <w:p w14:paraId="1321BBFA" w14:textId="77777777" w:rsidR="000C0D45" w:rsidRPr="0093062E" w:rsidRDefault="000C0D45" w:rsidP="0008122D">
            <w:pPr>
              <w:widowControl w:val="0"/>
              <w:autoSpaceDE w:val="0"/>
              <w:autoSpaceDN w:val="0"/>
              <w:spacing w:after="0" w:line="253" w:lineRule="exact"/>
              <w:ind w:left="42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2026</w:t>
            </w:r>
          </w:p>
        </w:tc>
        <w:tc>
          <w:tcPr>
            <w:tcW w:w="1419" w:type="dxa"/>
            <w:gridSpan w:val="2"/>
          </w:tcPr>
          <w:p w14:paraId="10351B06" w14:textId="77777777" w:rsidR="000C0D45" w:rsidRPr="0093062E" w:rsidRDefault="000C0D45" w:rsidP="0008122D">
            <w:pPr>
              <w:widowControl w:val="0"/>
              <w:autoSpaceDE w:val="0"/>
              <w:autoSpaceDN w:val="0"/>
              <w:spacing w:after="0" w:line="253" w:lineRule="exact"/>
              <w:ind w:left="470"/>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2027</w:t>
            </w:r>
          </w:p>
        </w:tc>
        <w:tc>
          <w:tcPr>
            <w:tcW w:w="1416" w:type="dxa"/>
            <w:gridSpan w:val="2"/>
          </w:tcPr>
          <w:p w14:paraId="605A674E" w14:textId="77777777" w:rsidR="000C0D45" w:rsidRPr="0093062E" w:rsidRDefault="000C0D45" w:rsidP="0008122D">
            <w:pPr>
              <w:widowControl w:val="0"/>
              <w:autoSpaceDE w:val="0"/>
              <w:autoSpaceDN w:val="0"/>
              <w:spacing w:after="0" w:line="253" w:lineRule="exact"/>
              <w:ind w:left="46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2028</w:t>
            </w:r>
          </w:p>
        </w:tc>
      </w:tr>
      <w:tr w:rsidR="000C0D45" w:rsidRPr="0093062E" w14:paraId="23282C44" w14:textId="77777777" w:rsidTr="0008122D">
        <w:trPr>
          <w:trHeight w:val="270"/>
        </w:trPr>
        <w:tc>
          <w:tcPr>
            <w:tcW w:w="3209" w:type="dxa"/>
            <w:vMerge/>
            <w:tcBorders>
              <w:top w:val="nil"/>
              <w:bottom w:val="single" w:sz="6" w:space="0" w:color="000000"/>
            </w:tcBorders>
          </w:tcPr>
          <w:p w14:paraId="58794EBF"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
                <w:szCs w:val="2"/>
                <w14:ligatures w14:val="none"/>
              </w:rPr>
            </w:pPr>
          </w:p>
        </w:tc>
        <w:tc>
          <w:tcPr>
            <w:tcW w:w="639" w:type="dxa"/>
            <w:tcBorders>
              <w:bottom w:val="single" w:sz="6" w:space="0" w:color="000000"/>
            </w:tcBorders>
          </w:tcPr>
          <w:p w14:paraId="40CEE33B" w14:textId="77777777" w:rsidR="000C0D45" w:rsidRPr="0093062E" w:rsidRDefault="000C0D45" w:rsidP="0008122D">
            <w:pPr>
              <w:widowControl w:val="0"/>
              <w:autoSpaceDE w:val="0"/>
              <w:autoSpaceDN w:val="0"/>
              <w:spacing w:after="0" w:line="251" w:lineRule="exact"/>
              <w:ind w:left="222"/>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641" w:type="dxa"/>
            <w:tcBorders>
              <w:bottom w:val="single" w:sz="6" w:space="0" w:color="000000"/>
            </w:tcBorders>
          </w:tcPr>
          <w:p w14:paraId="5BF03336" w14:textId="77777777" w:rsidR="000C0D45" w:rsidRPr="0093062E" w:rsidRDefault="000C0D45" w:rsidP="0008122D">
            <w:pPr>
              <w:widowControl w:val="0"/>
              <w:autoSpaceDE w:val="0"/>
              <w:autoSpaceDN w:val="0"/>
              <w:spacing w:after="0" w:line="251" w:lineRule="exact"/>
              <w:ind w:left="4"/>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641" w:type="dxa"/>
            <w:tcBorders>
              <w:bottom w:val="single" w:sz="6" w:space="0" w:color="000000"/>
            </w:tcBorders>
          </w:tcPr>
          <w:p w14:paraId="28E98439" w14:textId="77777777" w:rsidR="000C0D45" w:rsidRPr="0093062E" w:rsidRDefault="000C0D45" w:rsidP="0008122D">
            <w:pPr>
              <w:widowControl w:val="0"/>
              <w:autoSpaceDE w:val="0"/>
              <w:autoSpaceDN w:val="0"/>
              <w:spacing w:after="0" w:line="251" w:lineRule="exact"/>
              <w:ind w:left="224"/>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44" w:type="dxa"/>
            <w:tcBorders>
              <w:bottom w:val="single" w:sz="6" w:space="0" w:color="000000"/>
            </w:tcBorders>
          </w:tcPr>
          <w:p w14:paraId="21823DE0" w14:textId="77777777" w:rsidR="000C0D45" w:rsidRPr="0093062E" w:rsidRDefault="000C0D45" w:rsidP="0008122D">
            <w:pPr>
              <w:widowControl w:val="0"/>
              <w:autoSpaceDE w:val="0"/>
              <w:autoSpaceDN w:val="0"/>
              <w:spacing w:after="0" w:line="251" w:lineRule="exact"/>
              <w:ind w:left="6"/>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643" w:type="dxa"/>
            <w:tcBorders>
              <w:bottom w:val="single" w:sz="6" w:space="0" w:color="000000"/>
            </w:tcBorders>
          </w:tcPr>
          <w:p w14:paraId="1C8C7293"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686" w:type="dxa"/>
            <w:tcBorders>
              <w:bottom w:val="single" w:sz="6" w:space="0" w:color="000000"/>
            </w:tcBorders>
          </w:tcPr>
          <w:p w14:paraId="53142DB8"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711" w:type="dxa"/>
            <w:tcBorders>
              <w:bottom w:val="single" w:sz="6" w:space="0" w:color="000000"/>
            </w:tcBorders>
          </w:tcPr>
          <w:p w14:paraId="482ACE26"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08" w:type="dxa"/>
            <w:tcBorders>
              <w:bottom w:val="single" w:sz="6" w:space="0" w:color="000000"/>
            </w:tcBorders>
          </w:tcPr>
          <w:p w14:paraId="2D336DA2"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708" w:type="dxa"/>
            <w:tcBorders>
              <w:bottom w:val="single" w:sz="6" w:space="0" w:color="000000"/>
            </w:tcBorders>
          </w:tcPr>
          <w:p w14:paraId="2901B3EC"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08" w:type="dxa"/>
            <w:tcBorders>
              <w:bottom w:val="single" w:sz="6" w:space="0" w:color="000000"/>
            </w:tcBorders>
          </w:tcPr>
          <w:p w14:paraId="416036EE"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r>
      <w:tr w:rsidR="000C0D45" w:rsidRPr="0093062E" w14:paraId="69591447" w14:textId="77777777" w:rsidTr="0008122D">
        <w:trPr>
          <w:trHeight w:val="549"/>
        </w:trPr>
        <w:tc>
          <w:tcPr>
            <w:tcW w:w="3209" w:type="dxa"/>
            <w:tcBorders>
              <w:top w:val="single" w:sz="6" w:space="0" w:color="000000"/>
            </w:tcBorders>
          </w:tcPr>
          <w:p w14:paraId="57370471" w14:textId="77777777" w:rsidR="000C0D45" w:rsidRPr="0093062E" w:rsidRDefault="000C0D45" w:rsidP="0008122D">
            <w:pPr>
              <w:widowControl w:val="0"/>
              <w:tabs>
                <w:tab w:val="left" w:pos="1273"/>
                <w:tab w:val="left" w:pos="2643"/>
              </w:tabs>
              <w:autoSpaceDE w:val="0"/>
              <w:autoSpaceDN w:val="0"/>
              <w:spacing w:after="0" w:line="276" w:lineRule="exact"/>
              <w:ind w:left="107" w:right="100"/>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Tamamlanan Yüksek Lisans Tez Sayısı</w:t>
            </w:r>
          </w:p>
        </w:tc>
        <w:tc>
          <w:tcPr>
            <w:tcW w:w="639" w:type="dxa"/>
            <w:tcBorders>
              <w:top w:val="single" w:sz="6" w:space="0" w:color="000000"/>
            </w:tcBorders>
            <w:vAlign w:val="center"/>
          </w:tcPr>
          <w:p w14:paraId="74B257C9" w14:textId="77777777" w:rsidR="000C0D45" w:rsidRPr="0093062E" w:rsidRDefault="000C0D45" w:rsidP="0008122D">
            <w:pPr>
              <w:widowControl w:val="0"/>
              <w:autoSpaceDE w:val="0"/>
              <w:autoSpaceDN w:val="0"/>
              <w:spacing w:before="136" w:after="0" w:line="240" w:lineRule="auto"/>
              <w:ind w:left="25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w:t>
            </w:r>
          </w:p>
        </w:tc>
        <w:tc>
          <w:tcPr>
            <w:tcW w:w="641" w:type="dxa"/>
            <w:tcBorders>
              <w:top w:val="single" w:sz="6" w:space="0" w:color="000000"/>
            </w:tcBorders>
            <w:vAlign w:val="center"/>
          </w:tcPr>
          <w:p w14:paraId="78DEBA12"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41" w:type="dxa"/>
            <w:tcBorders>
              <w:top w:val="single" w:sz="6" w:space="0" w:color="000000"/>
            </w:tcBorders>
            <w:vAlign w:val="center"/>
          </w:tcPr>
          <w:p w14:paraId="13952EB7" w14:textId="77777777" w:rsidR="000C0D45" w:rsidRPr="0093062E" w:rsidRDefault="000C0D45" w:rsidP="0008122D">
            <w:pPr>
              <w:widowControl w:val="0"/>
              <w:autoSpaceDE w:val="0"/>
              <w:autoSpaceDN w:val="0"/>
              <w:spacing w:before="136" w:after="0" w:line="240" w:lineRule="auto"/>
              <w:ind w:left="25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44" w:type="dxa"/>
            <w:tcBorders>
              <w:top w:val="single" w:sz="6" w:space="0" w:color="000000"/>
            </w:tcBorders>
            <w:vAlign w:val="center"/>
          </w:tcPr>
          <w:p w14:paraId="5D2DE4CA"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eastAsia="Times New Roman" w:hAnsiTheme="majorBidi" w:cstheme="majorBidi"/>
                <w:kern w:val="0"/>
                <w:sz w:val="24"/>
                <w14:ligatures w14:val="none"/>
              </w:rPr>
              <w:t>1</w:t>
            </w:r>
          </w:p>
        </w:tc>
        <w:tc>
          <w:tcPr>
            <w:tcW w:w="643" w:type="dxa"/>
            <w:tcBorders>
              <w:top w:val="single" w:sz="6" w:space="0" w:color="000000"/>
            </w:tcBorders>
            <w:vAlign w:val="center"/>
          </w:tcPr>
          <w:p w14:paraId="44AF1012" w14:textId="77777777" w:rsidR="000C0D45" w:rsidRPr="0093062E" w:rsidRDefault="000C0D45" w:rsidP="0008122D">
            <w:pPr>
              <w:widowControl w:val="0"/>
              <w:autoSpaceDE w:val="0"/>
              <w:autoSpaceDN w:val="0"/>
              <w:spacing w:before="136" w:after="0" w:line="240" w:lineRule="auto"/>
              <w:ind w:left="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86" w:type="dxa"/>
            <w:tcBorders>
              <w:top w:val="single" w:sz="6" w:space="0" w:color="000000"/>
            </w:tcBorders>
            <w:vAlign w:val="center"/>
          </w:tcPr>
          <w:p w14:paraId="0B08519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11" w:type="dxa"/>
            <w:tcBorders>
              <w:top w:val="single" w:sz="6" w:space="0" w:color="000000"/>
            </w:tcBorders>
            <w:vAlign w:val="center"/>
          </w:tcPr>
          <w:p w14:paraId="592ED988" w14:textId="77777777" w:rsidR="000C0D45" w:rsidRPr="0093062E" w:rsidRDefault="000C0D45" w:rsidP="0008122D">
            <w:pPr>
              <w:widowControl w:val="0"/>
              <w:autoSpaceDE w:val="0"/>
              <w:autoSpaceDN w:val="0"/>
              <w:spacing w:before="136" w:after="0" w:line="240" w:lineRule="auto"/>
              <w:ind w:left="8"/>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tcBorders>
              <w:top w:val="single" w:sz="6" w:space="0" w:color="000000"/>
            </w:tcBorders>
            <w:vAlign w:val="center"/>
          </w:tcPr>
          <w:p w14:paraId="755C21C7"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08" w:type="dxa"/>
            <w:tcBorders>
              <w:top w:val="single" w:sz="6" w:space="0" w:color="000000"/>
            </w:tcBorders>
            <w:vAlign w:val="center"/>
          </w:tcPr>
          <w:p w14:paraId="6A88B44B" w14:textId="77777777" w:rsidR="000C0D45" w:rsidRPr="0093062E" w:rsidRDefault="000C0D45" w:rsidP="0008122D">
            <w:pPr>
              <w:widowControl w:val="0"/>
              <w:autoSpaceDE w:val="0"/>
              <w:autoSpaceDN w:val="0"/>
              <w:spacing w:before="136" w:after="0" w:line="240" w:lineRule="auto"/>
              <w:ind w:left="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tcBorders>
              <w:top w:val="single" w:sz="6" w:space="0" w:color="000000"/>
            </w:tcBorders>
            <w:vAlign w:val="center"/>
          </w:tcPr>
          <w:p w14:paraId="19799BC2"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r>
      <w:tr w:rsidR="000C0D45" w:rsidRPr="0093062E" w14:paraId="6978FC82" w14:textId="77777777" w:rsidTr="0008122D">
        <w:trPr>
          <w:trHeight w:val="824"/>
        </w:trPr>
        <w:tc>
          <w:tcPr>
            <w:tcW w:w="3209" w:type="dxa"/>
          </w:tcPr>
          <w:p w14:paraId="196BC77B" w14:textId="77777777" w:rsidR="000C0D45" w:rsidRPr="0093062E" w:rsidRDefault="000C0D45" w:rsidP="0008122D">
            <w:pPr>
              <w:widowControl w:val="0"/>
              <w:autoSpaceDE w:val="0"/>
              <w:autoSpaceDN w:val="0"/>
              <w:spacing w:after="0" w:line="257" w:lineRule="exact"/>
              <w:ind w:left="10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Tezden Üretilen Yayın Sayısı</w:t>
            </w:r>
          </w:p>
        </w:tc>
        <w:tc>
          <w:tcPr>
            <w:tcW w:w="639" w:type="dxa"/>
            <w:vAlign w:val="center"/>
          </w:tcPr>
          <w:p w14:paraId="56D06B6F" w14:textId="77777777" w:rsidR="000C0D45" w:rsidRPr="0093062E" w:rsidRDefault="000C0D45" w:rsidP="0008122D">
            <w:pPr>
              <w:widowControl w:val="0"/>
              <w:autoSpaceDE w:val="0"/>
              <w:autoSpaceDN w:val="0"/>
              <w:spacing w:before="1" w:after="0" w:line="240" w:lineRule="auto"/>
              <w:ind w:left="25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w:t>
            </w:r>
          </w:p>
        </w:tc>
        <w:tc>
          <w:tcPr>
            <w:tcW w:w="641" w:type="dxa"/>
            <w:vAlign w:val="center"/>
          </w:tcPr>
          <w:p w14:paraId="14B6728B"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w:t>
            </w:r>
          </w:p>
        </w:tc>
        <w:tc>
          <w:tcPr>
            <w:tcW w:w="641" w:type="dxa"/>
            <w:vAlign w:val="center"/>
          </w:tcPr>
          <w:p w14:paraId="36550395" w14:textId="77777777" w:rsidR="000C0D45" w:rsidRPr="0093062E" w:rsidRDefault="000C0D45" w:rsidP="0008122D">
            <w:pPr>
              <w:widowControl w:val="0"/>
              <w:autoSpaceDE w:val="0"/>
              <w:autoSpaceDN w:val="0"/>
              <w:spacing w:before="1" w:after="0" w:line="240" w:lineRule="auto"/>
              <w:ind w:left="25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44" w:type="dxa"/>
            <w:vAlign w:val="center"/>
          </w:tcPr>
          <w:p w14:paraId="767730BC"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eastAsia="Times New Roman" w:hAnsiTheme="majorBidi" w:cstheme="majorBidi"/>
                <w:kern w:val="0"/>
                <w:sz w:val="24"/>
                <w14:ligatures w14:val="none"/>
              </w:rPr>
              <w:t>1</w:t>
            </w:r>
          </w:p>
        </w:tc>
        <w:tc>
          <w:tcPr>
            <w:tcW w:w="643" w:type="dxa"/>
            <w:vAlign w:val="center"/>
          </w:tcPr>
          <w:p w14:paraId="559592AF" w14:textId="77777777" w:rsidR="000C0D45" w:rsidRPr="0093062E" w:rsidRDefault="000C0D45" w:rsidP="0008122D">
            <w:pPr>
              <w:widowControl w:val="0"/>
              <w:autoSpaceDE w:val="0"/>
              <w:autoSpaceDN w:val="0"/>
              <w:spacing w:before="1" w:after="0" w:line="240" w:lineRule="auto"/>
              <w:ind w:left="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86" w:type="dxa"/>
            <w:vAlign w:val="center"/>
          </w:tcPr>
          <w:p w14:paraId="66291D1D"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11" w:type="dxa"/>
            <w:vAlign w:val="center"/>
          </w:tcPr>
          <w:p w14:paraId="524EBDB2" w14:textId="77777777" w:rsidR="000C0D45" w:rsidRPr="0093062E" w:rsidRDefault="000C0D45" w:rsidP="0008122D">
            <w:pPr>
              <w:widowControl w:val="0"/>
              <w:autoSpaceDE w:val="0"/>
              <w:autoSpaceDN w:val="0"/>
              <w:spacing w:before="1" w:after="0" w:line="240" w:lineRule="auto"/>
              <w:ind w:left="8"/>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vAlign w:val="center"/>
          </w:tcPr>
          <w:p w14:paraId="31D03F8A"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08" w:type="dxa"/>
            <w:vAlign w:val="center"/>
          </w:tcPr>
          <w:p w14:paraId="1D225DDD" w14:textId="77777777" w:rsidR="000C0D45" w:rsidRPr="0093062E" w:rsidRDefault="000C0D45" w:rsidP="0008122D">
            <w:pPr>
              <w:widowControl w:val="0"/>
              <w:autoSpaceDE w:val="0"/>
              <w:autoSpaceDN w:val="0"/>
              <w:spacing w:before="1" w:after="0" w:line="240" w:lineRule="auto"/>
              <w:ind w:left="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vAlign w:val="center"/>
          </w:tcPr>
          <w:p w14:paraId="4A779AC3"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r>
      <w:tr w:rsidR="000C0D45" w:rsidRPr="0093062E" w14:paraId="5C8E4069" w14:textId="77777777" w:rsidTr="0008122D">
        <w:trPr>
          <w:trHeight w:val="316"/>
        </w:trPr>
        <w:tc>
          <w:tcPr>
            <w:tcW w:w="3209" w:type="dxa"/>
            <w:vAlign w:val="center"/>
          </w:tcPr>
          <w:p w14:paraId="617C06FA" w14:textId="77777777" w:rsidR="000C0D45" w:rsidRPr="0093062E" w:rsidRDefault="000C0D45" w:rsidP="0008122D">
            <w:pPr>
              <w:widowControl w:val="0"/>
              <w:autoSpaceDE w:val="0"/>
              <w:autoSpaceDN w:val="0"/>
              <w:spacing w:after="0" w:line="275" w:lineRule="exact"/>
              <w:ind w:left="10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Değerlendirme</w:t>
            </w:r>
          </w:p>
        </w:tc>
        <w:tc>
          <w:tcPr>
            <w:tcW w:w="6829" w:type="dxa"/>
            <w:gridSpan w:val="10"/>
          </w:tcPr>
          <w:p w14:paraId="6E249968"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 1.1: Yüksek Lisans Tez Çalışmalarında Devamlılığı Sağlamak</w:t>
            </w:r>
          </w:p>
          <w:p w14:paraId="0D1E1CE7"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 kapsamında, yüksek lisans öğrencilerinin tez süreçlerinin planlı ve kesintisiz biçimde yürütülmesi amaçlanmıştır. Performans göstergesi olarak tamamlanan yüksek lisans tez sayısı esas alınmıştır.</w:t>
            </w:r>
          </w:p>
          <w:p w14:paraId="57476F9B"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için tamamlanan yüksek lisans tez sayısına ilişkin hedef 1 olarak belirlenmiş olup, yıl sonunda 1 tez başarıyla tamamlanarak hedefe ulaşılmıştır. Bu gerçekleşme, tez danışmanlığı süreçlerinin etkin yürütüldüğünü, öğrenci–danışman etkileşiminin yeterli düzeyde olduğunu ve tez izleme mekanizmalarının işlevsel olduğunu göstermektedir.</w:t>
            </w:r>
          </w:p>
          <w:p w14:paraId="6A917528"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Dolayısıyla Strateji 1.1 kapsamında 2025 yılı performansı hedefle tam uyumlu olarak değerlendirilmiştir.</w:t>
            </w:r>
          </w:p>
          <w:p w14:paraId="6948764A"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 1.2: Tezlerden Üretilen ve Çeşitli Dergilerde Yayınlanan Çalışmaları Teşvik Etmek</w:t>
            </w:r>
          </w:p>
          <w:p w14:paraId="1BEEF144"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 çerçevesinde, tamamlanan yüksek lisans tezlerinin bilimsel yayınlara dönüştürülmesi teşvik edilmiştir. Performans göstergesi olarak tezden üretilen yayın sayısı belirlenmiştir.</w:t>
            </w:r>
          </w:p>
          <w:p w14:paraId="38AA8543"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 xml:space="preserve">2025 yılı için tezden üretilen yayın sayısı hedefi 1 olarak belirlenmiş ve yıl sonunda 1 yayın üretilerek hedef yakalanmıştır. Bu durum, tez çalışmalarının yalnızca akademik bir zorunluluk olarak değil, aynı zamanda bilimsel çıktı üretme sürecinin bir parçası olarak ele alındığını göstermektedir. </w:t>
            </w:r>
          </w:p>
          <w:p w14:paraId="00C720B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kapsamda Strateji 1.2 açısından 2025 yılı performansı başarılı bulunmuştur.</w:t>
            </w:r>
          </w:p>
          <w:p w14:paraId="723F3AB0"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 1.3: Yüksek Lisans Tezlerinden Üretilen Yayınların Kalitesinin Artmasını Sağlamak</w:t>
            </w:r>
          </w:p>
          <w:p w14:paraId="7EBB57D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Strateji 1.3, nicelikten ziyade nitelik odaklı bir yaklaşımı benimsemekte olup, tezlerden üretilen yayınların akademik kalite düzeyinin yükseltilmesini hedeflemektedir. Bu strateji doğrudan ölçülebilir bir nicel göstergeyle değil; Strateji 1.2 kapsamında üretilen yayınların niteliği üzerinden dolaylı olarak değerlendirilmektedir.</w:t>
            </w:r>
          </w:p>
          <w:p w14:paraId="7425B9AE"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yılında tezlerden üretilen yayınların hakemli dergilerde yayımlanması, danışmanların yayın sürecine aktif katkı sunması ve tez konularının yayın potansiyeli dikkate alınarak belirlenmesi, yayın kalitesinin artırılmasına yönelik olumlu uygulamalar olarak öne çıkmıştır. Bu bağlamda, Strateji 1.3 kapsamında hedefe ulaşma yönünde olumlu bir eğilim yakalandığı değerlendirilmektedir.</w:t>
            </w:r>
          </w:p>
          <w:p w14:paraId="66513BAC"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Genel Değerlendirme</w:t>
            </w:r>
          </w:p>
          <w:p w14:paraId="556B323D"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itibarıyla, AR-GE ve yenilikçilik faaliyetlerini geliştirmeye yönelik stratejik amaç kapsamında belirlenen tüm performans göstergelerinde hedeflere ulaşılmıştır. Tamamlanan tez sayısı ve tezden üretilen yayın sayısı, hem Strateji 1.1 hem de Strateji 1.2 açısından hedeflerle birebir örtüşmektedir. Ayrıca, yayınların niteliğine yönelik uygulamalar Strateji 1.3 kapsamında olumlu bir gelişim sürecine işaret etmektedir.</w:t>
            </w:r>
          </w:p>
          <w:p w14:paraId="0C733890"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sonuçlar, Maliye Bölümünde lisansüstü eğitimde araştırma odaklı yaklaşımın benimsendiğini, tez süreçlerinin etkin biçimde yönetildiğini ve akademik çıktı üretme kültürünün güçlendiğini göstermektedir. Önümüzdeki yıllarda, tamamlanan tez ve yayın sayılarının artırılmasının yanı sıra, ulusal ve uluslararası indekslerde taranan dergilerde yayın yapılmasının teşvik edilmesi suretiyle araştırma niteliğinin daha da yükseltilmesi hedeflenmektedir.</w:t>
            </w:r>
          </w:p>
          <w:p w14:paraId="3B4D9D17"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doğrultuda, sürdürülebilir ve nitelikli bir AR-GE ekosisteminin oluşturulmasına yönelik çalışmaların devam etmesi planlanmaktadır.</w:t>
            </w:r>
          </w:p>
          <w:p w14:paraId="2B905EB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p>
        </w:tc>
      </w:tr>
    </w:tbl>
    <w:p w14:paraId="5849E33F" w14:textId="77777777" w:rsidR="000C0D45" w:rsidRPr="0093062E" w:rsidRDefault="000C0D45" w:rsidP="000C0D45">
      <w:pPr>
        <w:widowControl w:val="0"/>
        <w:autoSpaceDE w:val="0"/>
        <w:autoSpaceDN w:val="0"/>
        <w:spacing w:after="0" w:line="240" w:lineRule="auto"/>
        <w:ind w:left="256"/>
        <w:jc w:val="both"/>
        <w:rPr>
          <w:rFonts w:ascii="Times New Roman" w:eastAsia="Times New Roman" w:hAnsi="Times New Roman" w:cs="Times New Roman"/>
          <w:kern w:val="0"/>
          <w:sz w:val="24"/>
          <w14:ligatures w14:val="none"/>
        </w:rPr>
      </w:pPr>
      <w:r w:rsidRPr="0093062E">
        <w:rPr>
          <w:rFonts w:ascii="Times New Roman" w:eastAsia="Times New Roman" w:hAnsi="Times New Roman" w:cs="Times New Roman"/>
          <w:b/>
          <w:kern w:val="0"/>
          <w:sz w:val="24"/>
          <w14:ligatures w14:val="none"/>
        </w:rPr>
        <w:t>H:</w:t>
      </w:r>
      <w:r w:rsidRPr="0093062E">
        <w:rPr>
          <w:rFonts w:ascii="Times New Roman" w:eastAsia="Times New Roman" w:hAnsi="Times New Roman" w:cs="Times New Roman"/>
          <w:b/>
          <w:spacing w:val="-3"/>
          <w:kern w:val="0"/>
          <w:sz w:val="24"/>
          <w14:ligatures w14:val="none"/>
        </w:rPr>
        <w:t xml:space="preserve"> </w:t>
      </w:r>
      <w:r w:rsidRPr="0093062E">
        <w:rPr>
          <w:rFonts w:ascii="Times New Roman" w:eastAsia="Times New Roman" w:hAnsi="Times New Roman" w:cs="Times New Roman"/>
          <w:kern w:val="0"/>
          <w:sz w:val="24"/>
          <w14:ligatures w14:val="none"/>
        </w:rPr>
        <w:t>Hedeflenen;</w:t>
      </w:r>
      <w:r w:rsidRPr="0093062E">
        <w:rPr>
          <w:rFonts w:ascii="Times New Roman" w:eastAsia="Times New Roman" w:hAnsi="Times New Roman" w:cs="Times New Roman"/>
          <w:spacing w:val="-1"/>
          <w:kern w:val="0"/>
          <w:sz w:val="24"/>
          <w14:ligatures w14:val="none"/>
        </w:rPr>
        <w:t xml:space="preserve"> </w:t>
      </w:r>
      <w:r w:rsidRPr="0093062E">
        <w:rPr>
          <w:rFonts w:ascii="Times New Roman" w:eastAsia="Times New Roman" w:hAnsi="Times New Roman" w:cs="Times New Roman"/>
          <w:b/>
          <w:kern w:val="0"/>
          <w:sz w:val="24"/>
          <w14:ligatures w14:val="none"/>
        </w:rPr>
        <w:t>G:</w:t>
      </w:r>
      <w:r w:rsidRPr="0093062E">
        <w:rPr>
          <w:rFonts w:ascii="Times New Roman" w:eastAsia="Times New Roman" w:hAnsi="Times New Roman" w:cs="Times New Roman"/>
          <w:b/>
          <w:spacing w:val="-3"/>
          <w:kern w:val="0"/>
          <w:sz w:val="24"/>
          <w14:ligatures w14:val="none"/>
        </w:rPr>
        <w:t xml:space="preserve"> </w:t>
      </w:r>
      <w:r w:rsidRPr="0093062E">
        <w:rPr>
          <w:rFonts w:ascii="Times New Roman" w:eastAsia="Times New Roman" w:hAnsi="Times New Roman" w:cs="Times New Roman"/>
          <w:kern w:val="0"/>
          <w:sz w:val="24"/>
          <w14:ligatures w14:val="none"/>
        </w:rPr>
        <w:t>Gerçekleşme</w:t>
      </w:r>
    </w:p>
    <w:p w14:paraId="259FBF54" w14:textId="77777777" w:rsidR="000C0D45" w:rsidRPr="0093062E" w:rsidRDefault="000C0D45" w:rsidP="000C0D45">
      <w:pPr>
        <w:widowControl w:val="0"/>
        <w:autoSpaceDE w:val="0"/>
        <w:autoSpaceDN w:val="0"/>
        <w:spacing w:after="0" w:line="240" w:lineRule="auto"/>
        <w:jc w:val="both"/>
        <w:rPr>
          <w:rFonts w:ascii="Times New Roman" w:eastAsia="Times New Roman" w:hAnsi="Times New Roman" w:cs="Times New Roman"/>
          <w:b/>
          <w:bCs/>
          <w:kern w:val="0"/>
          <w:sz w:val="24"/>
          <w:szCs w:val="24"/>
          <w14:ligatures w14:val="none"/>
        </w:rPr>
      </w:pPr>
    </w:p>
    <w:p w14:paraId="7C7BD261" w14:textId="77777777" w:rsidR="000C0D45" w:rsidRPr="0093062E" w:rsidRDefault="000C0D45" w:rsidP="000C0D45">
      <w:pPr>
        <w:spacing w:after="0" w:line="240" w:lineRule="auto"/>
        <w:jc w:val="both"/>
        <w:rPr>
          <w:rFonts w:ascii="Times New Roman" w:hAnsi="Times New Roman"/>
          <w:b/>
          <w:bCs/>
          <w:kern w:val="0"/>
          <w:sz w:val="24"/>
          <w:szCs w:val="24"/>
          <w14:ligatures w14:val="none"/>
        </w:rPr>
      </w:pPr>
      <w:r w:rsidRPr="0093062E">
        <w:rPr>
          <w:rFonts w:ascii="Times New Roman" w:hAnsi="Times New Roman"/>
          <w:b/>
          <w:bCs/>
          <w:kern w:val="0"/>
          <w:sz w:val="24"/>
          <w:szCs w:val="24"/>
          <w14:ligatures w14:val="none"/>
        </w:rPr>
        <w:t xml:space="preserve">STRATEJİK AMAÇ: EĞİTİM VE ÖĞRETİM FAALİYETLERİNİN KALİTESİNİ ARTIRMAK </w:t>
      </w:r>
    </w:p>
    <w:p w14:paraId="3542BD6A"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Stratejik Hedef:</w:t>
      </w:r>
      <w:r w:rsidRPr="0093062E">
        <w:rPr>
          <w:rFonts w:ascii="Times New Roman" w:hAnsi="Times New Roman"/>
          <w:kern w:val="0"/>
          <w:sz w:val="24"/>
          <w:szCs w:val="24"/>
          <w14:ligatures w14:val="none"/>
        </w:rPr>
        <w:t xml:space="preserve"> Öğrencilerin öğrenme istek, kapasite ve memnuniyetlerini geliştirmek </w:t>
      </w:r>
    </w:p>
    <w:p w14:paraId="5C694DD1"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1.1.:</w:t>
      </w:r>
      <w:r w:rsidRPr="0093062E">
        <w:rPr>
          <w:rFonts w:ascii="Times New Roman" w:hAnsi="Times New Roman"/>
          <w:kern w:val="0"/>
          <w:sz w:val="24"/>
          <w:szCs w:val="24"/>
          <w14:ligatures w14:val="none"/>
        </w:rPr>
        <w:t xml:space="preserve"> Öğrenme araçlarının ve araştırma kapasite sayı ve kalitesini artırmak </w:t>
      </w:r>
    </w:p>
    <w:p w14:paraId="4EDB419D" w14:textId="77777777" w:rsidR="000C0D45" w:rsidRPr="0093062E" w:rsidRDefault="000C0D45" w:rsidP="000C0D4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93062E">
        <w:rPr>
          <w:rFonts w:ascii="Times New Roman" w:hAnsi="Times New Roman"/>
          <w:b/>
          <w:bCs/>
          <w:kern w:val="0"/>
          <w:sz w:val="24"/>
          <w:szCs w:val="24"/>
          <w14:ligatures w14:val="none"/>
        </w:rPr>
        <w:t>Strateji 1.2.:</w:t>
      </w:r>
      <w:r w:rsidRPr="0093062E">
        <w:rPr>
          <w:rFonts w:ascii="Times New Roman" w:hAnsi="Times New Roman"/>
          <w:kern w:val="0"/>
          <w:sz w:val="24"/>
          <w:szCs w:val="24"/>
          <w14:ligatures w14:val="none"/>
        </w:rPr>
        <w:t xml:space="preserve"> Öğrencilerin aldıkları eğitimle ilgili memnuiyet düzeyini ölçmek</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7"/>
        <w:gridCol w:w="593"/>
        <w:gridCol w:w="596"/>
        <w:gridCol w:w="495"/>
        <w:gridCol w:w="598"/>
        <w:gridCol w:w="596"/>
        <w:gridCol w:w="596"/>
        <w:gridCol w:w="597"/>
        <w:gridCol w:w="594"/>
        <w:gridCol w:w="596"/>
        <w:gridCol w:w="980"/>
      </w:tblGrid>
      <w:tr w:rsidR="000C0D45" w:rsidRPr="0093062E" w14:paraId="1AD89CD4" w14:textId="77777777" w:rsidTr="0008122D">
        <w:trPr>
          <w:trHeight w:val="277"/>
        </w:trPr>
        <w:tc>
          <w:tcPr>
            <w:tcW w:w="4097" w:type="dxa"/>
            <w:vMerge w:val="restart"/>
          </w:tcPr>
          <w:p w14:paraId="4C70F316" w14:textId="77777777" w:rsidR="000C0D45" w:rsidRPr="0093062E" w:rsidRDefault="000C0D45" w:rsidP="0008122D">
            <w:pPr>
              <w:widowControl w:val="0"/>
              <w:autoSpaceDE w:val="0"/>
              <w:autoSpaceDN w:val="0"/>
              <w:spacing w:before="143" w:after="0" w:line="240" w:lineRule="auto"/>
              <w:ind w:left="10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Performans</w:t>
            </w:r>
            <w:r w:rsidRPr="0093062E">
              <w:rPr>
                <w:rFonts w:asciiTheme="majorBidi" w:eastAsia="Times New Roman" w:hAnsiTheme="majorBidi" w:cstheme="majorBidi"/>
                <w:b/>
                <w:spacing w:val="-4"/>
                <w:kern w:val="0"/>
                <w:sz w:val="24"/>
                <w:szCs w:val="24"/>
                <w14:ligatures w14:val="none"/>
              </w:rPr>
              <w:t xml:space="preserve"> </w:t>
            </w:r>
            <w:r w:rsidRPr="0093062E">
              <w:rPr>
                <w:rFonts w:asciiTheme="majorBidi" w:eastAsia="Times New Roman" w:hAnsiTheme="majorBidi" w:cstheme="majorBidi"/>
                <w:b/>
                <w:kern w:val="0"/>
                <w:sz w:val="24"/>
                <w:szCs w:val="24"/>
                <w14:ligatures w14:val="none"/>
              </w:rPr>
              <w:t>Göstergeleri</w:t>
            </w:r>
          </w:p>
        </w:tc>
        <w:tc>
          <w:tcPr>
            <w:tcW w:w="1189" w:type="dxa"/>
            <w:gridSpan w:val="2"/>
          </w:tcPr>
          <w:p w14:paraId="242A5EAC" w14:textId="77777777" w:rsidR="000C0D45" w:rsidRPr="0093062E" w:rsidRDefault="000C0D45" w:rsidP="0008122D">
            <w:pPr>
              <w:widowControl w:val="0"/>
              <w:autoSpaceDE w:val="0"/>
              <w:autoSpaceDN w:val="0"/>
              <w:spacing w:before="1" w:after="0" w:line="257" w:lineRule="exact"/>
              <w:ind w:left="35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2024</w:t>
            </w:r>
          </w:p>
        </w:tc>
        <w:tc>
          <w:tcPr>
            <w:tcW w:w="1093" w:type="dxa"/>
            <w:gridSpan w:val="2"/>
          </w:tcPr>
          <w:p w14:paraId="087EB17F" w14:textId="77777777" w:rsidR="000C0D45" w:rsidRPr="0093062E" w:rsidRDefault="000C0D45" w:rsidP="0008122D">
            <w:pPr>
              <w:widowControl w:val="0"/>
              <w:autoSpaceDE w:val="0"/>
              <w:autoSpaceDN w:val="0"/>
              <w:spacing w:before="1" w:after="0" w:line="257" w:lineRule="exact"/>
              <w:ind w:left="306"/>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2025</w:t>
            </w:r>
          </w:p>
        </w:tc>
        <w:tc>
          <w:tcPr>
            <w:tcW w:w="1192" w:type="dxa"/>
            <w:gridSpan w:val="2"/>
          </w:tcPr>
          <w:p w14:paraId="7F6C13C6" w14:textId="77777777" w:rsidR="000C0D45" w:rsidRPr="0093062E" w:rsidRDefault="000C0D45" w:rsidP="0008122D">
            <w:pPr>
              <w:widowControl w:val="0"/>
              <w:autoSpaceDE w:val="0"/>
              <w:autoSpaceDN w:val="0"/>
              <w:spacing w:before="1" w:after="0" w:line="257" w:lineRule="exact"/>
              <w:ind w:left="35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2026</w:t>
            </w:r>
          </w:p>
        </w:tc>
        <w:tc>
          <w:tcPr>
            <w:tcW w:w="1191" w:type="dxa"/>
            <w:gridSpan w:val="2"/>
          </w:tcPr>
          <w:p w14:paraId="703F8D6F" w14:textId="77777777" w:rsidR="000C0D45" w:rsidRPr="0093062E" w:rsidRDefault="000C0D45" w:rsidP="0008122D">
            <w:pPr>
              <w:widowControl w:val="0"/>
              <w:autoSpaceDE w:val="0"/>
              <w:autoSpaceDN w:val="0"/>
              <w:spacing w:before="1" w:after="0" w:line="257" w:lineRule="exact"/>
              <w:ind w:left="352"/>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2027</w:t>
            </w:r>
          </w:p>
        </w:tc>
        <w:tc>
          <w:tcPr>
            <w:tcW w:w="1576" w:type="dxa"/>
            <w:gridSpan w:val="2"/>
          </w:tcPr>
          <w:p w14:paraId="5121DAED" w14:textId="77777777" w:rsidR="000C0D45" w:rsidRPr="0093062E" w:rsidRDefault="000C0D45" w:rsidP="0008122D">
            <w:pPr>
              <w:widowControl w:val="0"/>
              <w:autoSpaceDE w:val="0"/>
              <w:autoSpaceDN w:val="0"/>
              <w:spacing w:before="1" w:after="0" w:line="257" w:lineRule="exact"/>
              <w:ind w:left="39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2028</w:t>
            </w:r>
          </w:p>
        </w:tc>
      </w:tr>
      <w:tr w:rsidR="000C0D45" w:rsidRPr="0093062E" w14:paraId="2F8F64D6" w14:textId="77777777" w:rsidTr="0008122D">
        <w:trPr>
          <w:trHeight w:val="275"/>
        </w:trPr>
        <w:tc>
          <w:tcPr>
            <w:tcW w:w="4097" w:type="dxa"/>
            <w:vMerge/>
            <w:tcBorders>
              <w:top w:val="nil"/>
            </w:tcBorders>
          </w:tcPr>
          <w:p w14:paraId="0305259F"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3" w:type="dxa"/>
          </w:tcPr>
          <w:p w14:paraId="7780E581" w14:textId="77777777" w:rsidR="000C0D45" w:rsidRPr="0093062E" w:rsidRDefault="000C0D45" w:rsidP="0008122D">
            <w:pPr>
              <w:widowControl w:val="0"/>
              <w:autoSpaceDE w:val="0"/>
              <w:autoSpaceDN w:val="0"/>
              <w:spacing w:after="0" w:line="256" w:lineRule="exact"/>
              <w:ind w:left="20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6" w:type="dxa"/>
          </w:tcPr>
          <w:p w14:paraId="26F16E2B" w14:textId="77777777" w:rsidR="000C0D45" w:rsidRPr="0093062E" w:rsidRDefault="000C0D45" w:rsidP="0008122D">
            <w:pPr>
              <w:widowControl w:val="0"/>
              <w:autoSpaceDE w:val="0"/>
              <w:autoSpaceDN w:val="0"/>
              <w:spacing w:after="0" w:line="256" w:lineRule="exact"/>
              <w:ind w:left="206"/>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495" w:type="dxa"/>
          </w:tcPr>
          <w:p w14:paraId="171C2C2F" w14:textId="77777777" w:rsidR="000C0D45" w:rsidRPr="0093062E" w:rsidRDefault="000C0D45" w:rsidP="0008122D">
            <w:pPr>
              <w:widowControl w:val="0"/>
              <w:autoSpaceDE w:val="0"/>
              <w:autoSpaceDN w:val="0"/>
              <w:spacing w:after="0" w:line="256" w:lineRule="exact"/>
              <w:ind w:left="15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8" w:type="dxa"/>
          </w:tcPr>
          <w:p w14:paraId="2ED7C245" w14:textId="77777777" w:rsidR="000C0D45" w:rsidRPr="0093062E" w:rsidRDefault="000C0D45" w:rsidP="0008122D">
            <w:pPr>
              <w:widowControl w:val="0"/>
              <w:autoSpaceDE w:val="0"/>
              <w:autoSpaceDN w:val="0"/>
              <w:spacing w:after="0" w:line="256" w:lineRule="exact"/>
              <w:ind w:left="8"/>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6" w:type="dxa"/>
          </w:tcPr>
          <w:p w14:paraId="26449793" w14:textId="77777777" w:rsidR="000C0D45" w:rsidRPr="0093062E" w:rsidRDefault="000C0D45" w:rsidP="0008122D">
            <w:pPr>
              <w:widowControl w:val="0"/>
              <w:autoSpaceDE w:val="0"/>
              <w:autoSpaceDN w:val="0"/>
              <w:spacing w:after="0" w:line="256" w:lineRule="exact"/>
              <w:ind w:right="19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6" w:type="dxa"/>
          </w:tcPr>
          <w:p w14:paraId="3077B952" w14:textId="77777777" w:rsidR="000C0D45" w:rsidRPr="0093062E" w:rsidRDefault="000C0D45" w:rsidP="0008122D">
            <w:pPr>
              <w:widowControl w:val="0"/>
              <w:autoSpaceDE w:val="0"/>
              <w:autoSpaceDN w:val="0"/>
              <w:spacing w:after="0" w:line="256" w:lineRule="exact"/>
              <w:ind w:left="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7" w:type="dxa"/>
          </w:tcPr>
          <w:p w14:paraId="7C0D4D3C" w14:textId="77777777" w:rsidR="000C0D45" w:rsidRPr="0093062E" w:rsidRDefault="000C0D45" w:rsidP="0008122D">
            <w:pPr>
              <w:widowControl w:val="0"/>
              <w:autoSpaceDE w:val="0"/>
              <w:autoSpaceDN w:val="0"/>
              <w:spacing w:after="0" w:line="256" w:lineRule="exact"/>
              <w:ind w:right="19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4" w:type="dxa"/>
          </w:tcPr>
          <w:p w14:paraId="2558FDD2" w14:textId="77777777" w:rsidR="000C0D45" w:rsidRPr="0093062E" w:rsidRDefault="000C0D45" w:rsidP="0008122D">
            <w:pPr>
              <w:widowControl w:val="0"/>
              <w:autoSpaceDE w:val="0"/>
              <w:autoSpaceDN w:val="0"/>
              <w:spacing w:after="0" w:line="256" w:lineRule="exact"/>
              <w:ind w:left="1"/>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6" w:type="dxa"/>
          </w:tcPr>
          <w:p w14:paraId="620E210D" w14:textId="77777777" w:rsidR="000C0D45" w:rsidRPr="0093062E" w:rsidRDefault="000C0D45" w:rsidP="0008122D">
            <w:pPr>
              <w:widowControl w:val="0"/>
              <w:autoSpaceDE w:val="0"/>
              <w:autoSpaceDN w:val="0"/>
              <w:spacing w:after="0" w:line="256" w:lineRule="exact"/>
              <w:ind w:left="2"/>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980" w:type="dxa"/>
          </w:tcPr>
          <w:p w14:paraId="5316DFAA" w14:textId="77777777" w:rsidR="000C0D45" w:rsidRPr="0093062E" w:rsidRDefault="000C0D45" w:rsidP="0008122D">
            <w:pPr>
              <w:widowControl w:val="0"/>
              <w:autoSpaceDE w:val="0"/>
              <w:autoSpaceDN w:val="0"/>
              <w:spacing w:after="0" w:line="256" w:lineRule="exact"/>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r>
      <w:tr w:rsidR="000C0D45" w:rsidRPr="0093062E" w14:paraId="6B8E01DB" w14:textId="77777777" w:rsidTr="0008122D">
        <w:trPr>
          <w:trHeight w:val="551"/>
        </w:trPr>
        <w:tc>
          <w:tcPr>
            <w:tcW w:w="4097" w:type="dxa"/>
          </w:tcPr>
          <w:p w14:paraId="2B1C24AF" w14:textId="77777777" w:rsidR="000C0D45" w:rsidRPr="0093062E" w:rsidRDefault="000C0D45"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Öğretim üyesi başına düşen tezli yüksek lisans öğrenci sayısı</w:t>
            </w:r>
          </w:p>
        </w:tc>
        <w:tc>
          <w:tcPr>
            <w:tcW w:w="593" w:type="dxa"/>
            <w:vAlign w:val="center"/>
          </w:tcPr>
          <w:p w14:paraId="71B8173A" w14:textId="77777777" w:rsidR="000C0D45" w:rsidRPr="0093062E" w:rsidRDefault="000C0D45"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vAlign w:val="center"/>
          </w:tcPr>
          <w:p w14:paraId="3E5FFB1D"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2,08</w:t>
            </w:r>
          </w:p>
        </w:tc>
        <w:tc>
          <w:tcPr>
            <w:tcW w:w="495" w:type="dxa"/>
            <w:vAlign w:val="center"/>
          </w:tcPr>
          <w:p w14:paraId="033168DF" w14:textId="77777777" w:rsidR="000C0D45" w:rsidRPr="0093062E" w:rsidRDefault="000C0D45"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8" w:type="dxa"/>
            <w:vAlign w:val="center"/>
          </w:tcPr>
          <w:p w14:paraId="1990E49E"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eastAsia="Times New Roman" w:hAnsiTheme="majorBidi" w:cstheme="majorBidi"/>
                <w:kern w:val="0"/>
                <w:sz w:val="24"/>
                <w:szCs w:val="24"/>
                <w14:ligatures w14:val="none"/>
              </w:rPr>
              <w:t>1,36</w:t>
            </w:r>
          </w:p>
        </w:tc>
        <w:tc>
          <w:tcPr>
            <w:tcW w:w="596" w:type="dxa"/>
            <w:vAlign w:val="center"/>
          </w:tcPr>
          <w:p w14:paraId="669F3E51" w14:textId="77777777" w:rsidR="000C0D45" w:rsidRPr="0093062E" w:rsidRDefault="000C0D45"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1,5</w:t>
            </w:r>
          </w:p>
        </w:tc>
        <w:tc>
          <w:tcPr>
            <w:tcW w:w="596" w:type="dxa"/>
            <w:vAlign w:val="center"/>
          </w:tcPr>
          <w:p w14:paraId="06268DC2"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10190746" w14:textId="77777777" w:rsidR="000C0D45" w:rsidRPr="0093062E" w:rsidRDefault="000C0D45"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1,6</w:t>
            </w:r>
          </w:p>
        </w:tc>
        <w:tc>
          <w:tcPr>
            <w:tcW w:w="594" w:type="dxa"/>
            <w:vAlign w:val="center"/>
          </w:tcPr>
          <w:p w14:paraId="2B38B9F5"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3A42C851" w14:textId="77777777" w:rsidR="000C0D45" w:rsidRPr="0093062E" w:rsidRDefault="000C0D45"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1,7</w:t>
            </w:r>
          </w:p>
        </w:tc>
        <w:tc>
          <w:tcPr>
            <w:tcW w:w="980" w:type="dxa"/>
          </w:tcPr>
          <w:p w14:paraId="2F0B9CE0"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0C0D45" w:rsidRPr="0093062E" w14:paraId="1E2D1774" w14:textId="77777777" w:rsidTr="0008122D">
        <w:trPr>
          <w:trHeight w:val="367"/>
        </w:trPr>
        <w:tc>
          <w:tcPr>
            <w:tcW w:w="4097" w:type="dxa"/>
          </w:tcPr>
          <w:p w14:paraId="41EA2F83" w14:textId="77777777" w:rsidR="000C0D45" w:rsidRPr="0093062E" w:rsidRDefault="000C0D45" w:rsidP="0008122D">
            <w:pPr>
              <w:widowControl w:val="0"/>
              <w:autoSpaceDE w:val="0"/>
              <w:autoSpaceDN w:val="0"/>
              <w:spacing w:after="0" w:line="275" w:lineRule="exact"/>
              <w:ind w:left="10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Programa kayıtlı yüksek lisans öğrencilerinin memnuniyetini ölçen anket sayısı</w:t>
            </w:r>
          </w:p>
        </w:tc>
        <w:tc>
          <w:tcPr>
            <w:tcW w:w="593" w:type="dxa"/>
            <w:tcBorders>
              <w:bottom w:val="single" w:sz="4" w:space="0" w:color="000000"/>
            </w:tcBorders>
            <w:vAlign w:val="center"/>
          </w:tcPr>
          <w:p w14:paraId="502D7F4B" w14:textId="77777777" w:rsidR="000C0D45" w:rsidRPr="0093062E" w:rsidRDefault="000C0D45" w:rsidP="0008122D">
            <w:pPr>
              <w:widowControl w:val="0"/>
              <w:autoSpaceDE w:val="0"/>
              <w:autoSpaceDN w:val="0"/>
              <w:spacing w:before="44" w:after="0" w:line="240" w:lineRule="auto"/>
              <w:ind w:left="23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tcBorders>
              <w:bottom w:val="single" w:sz="4" w:space="0" w:color="000000"/>
            </w:tcBorders>
            <w:vAlign w:val="center"/>
          </w:tcPr>
          <w:p w14:paraId="7C793DC1"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495" w:type="dxa"/>
            <w:tcBorders>
              <w:bottom w:val="single" w:sz="4" w:space="0" w:color="000000"/>
            </w:tcBorders>
            <w:vAlign w:val="center"/>
          </w:tcPr>
          <w:p w14:paraId="52430954" w14:textId="77777777" w:rsidR="000C0D45" w:rsidRPr="0093062E" w:rsidRDefault="000C0D45" w:rsidP="0008122D">
            <w:pPr>
              <w:widowControl w:val="0"/>
              <w:autoSpaceDE w:val="0"/>
              <w:autoSpaceDN w:val="0"/>
              <w:spacing w:before="44" w:after="0" w:line="240" w:lineRule="auto"/>
              <w:ind w:left="18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8" w:type="dxa"/>
            <w:tcBorders>
              <w:bottom w:val="single" w:sz="4" w:space="0" w:color="000000"/>
            </w:tcBorders>
            <w:vAlign w:val="center"/>
          </w:tcPr>
          <w:p w14:paraId="70C9AADD"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eastAsia="Times New Roman" w:hAnsiTheme="majorBidi" w:cstheme="majorBidi"/>
                <w:kern w:val="0"/>
                <w:sz w:val="24"/>
                <w:szCs w:val="24"/>
                <w14:ligatures w14:val="none"/>
              </w:rPr>
              <w:t>1</w:t>
            </w:r>
          </w:p>
        </w:tc>
        <w:tc>
          <w:tcPr>
            <w:tcW w:w="596" w:type="dxa"/>
            <w:tcBorders>
              <w:bottom w:val="single" w:sz="4" w:space="0" w:color="000000"/>
            </w:tcBorders>
            <w:vAlign w:val="center"/>
          </w:tcPr>
          <w:p w14:paraId="03ACC7D7" w14:textId="77777777" w:rsidR="000C0D45" w:rsidRPr="0093062E" w:rsidRDefault="000C0D45" w:rsidP="0008122D">
            <w:pPr>
              <w:widowControl w:val="0"/>
              <w:autoSpaceDE w:val="0"/>
              <w:autoSpaceDN w:val="0"/>
              <w:spacing w:before="44" w:after="0" w:line="240" w:lineRule="auto"/>
              <w:ind w:right="22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tcBorders>
              <w:bottom w:val="single" w:sz="4" w:space="0" w:color="000000"/>
            </w:tcBorders>
            <w:vAlign w:val="center"/>
          </w:tcPr>
          <w:p w14:paraId="167B37C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tcBorders>
              <w:bottom w:val="single" w:sz="4" w:space="0" w:color="000000"/>
            </w:tcBorders>
            <w:vAlign w:val="center"/>
          </w:tcPr>
          <w:p w14:paraId="1017C1BC" w14:textId="77777777" w:rsidR="000C0D45" w:rsidRPr="0093062E" w:rsidRDefault="000C0D45" w:rsidP="0008122D">
            <w:pPr>
              <w:widowControl w:val="0"/>
              <w:autoSpaceDE w:val="0"/>
              <w:autoSpaceDN w:val="0"/>
              <w:spacing w:before="44" w:after="0" w:line="240" w:lineRule="auto"/>
              <w:ind w:right="230"/>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4" w:type="dxa"/>
            <w:tcBorders>
              <w:bottom w:val="single" w:sz="4" w:space="0" w:color="000000"/>
            </w:tcBorders>
            <w:vAlign w:val="center"/>
          </w:tcPr>
          <w:p w14:paraId="7A70071C"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tcBorders>
              <w:bottom w:val="single" w:sz="4" w:space="0" w:color="000000"/>
            </w:tcBorders>
            <w:vAlign w:val="center"/>
          </w:tcPr>
          <w:p w14:paraId="36CDB7C1" w14:textId="77777777" w:rsidR="000C0D45" w:rsidRPr="0093062E" w:rsidRDefault="000C0D45" w:rsidP="0008122D">
            <w:pPr>
              <w:widowControl w:val="0"/>
              <w:autoSpaceDE w:val="0"/>
              <w:autoSpaceDN w:val="0"/>
              <w:spacing w:before="44" w:after="0" w:line="240" w:lineRule="auto"/>
              <w:ind w:left="2"/>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980" w:type="dxa"/>
            <w:tcBorders>
              <w:bottom w:val="single" w:sz="4" w:space="0" w:color="000000"/>
            </w:tcBorders>
          </w:tcPr>
          <w:p w14:paraId="0D0F4740"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0C0D45" w:rsidRPr="0093062E" w14:paraId="441A67A4" w14:textId="77777777" w:rsidTr="0008122D">
        <w:trPr>
          <w:trHeight w:val="317"/>
        </w:trPr>
        <w:tc>
          <w:tcPr>
            <w:tcW w:w="4097" w:type="dxa"/>
            <w:vAlign w:val="center"/>
          </w:tcPr>
          <w:p w14:paraId="42E96F45" w14:textId="77777777" w:rsidR="000C0D45" w:rsidRPr="0093062E" w:rsidRDefault="000C0D45" w:rsidP="0008122D">
            <w:pPr>
              <w:widowControl w:val="0"/>
              <w:autoSpaceDE w:val="0"/>
              <w:autoSpaceDN w:val="0"/>
              <w:spacing w:after="0" w:line="274" w:lineRule="exact"/>
              <w:ind w:left="10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Değerlendirme</w:t>
            </w:r>
          </w:p>
        </w:tc>
        <w:tc>
          <w:tcPr>
            <w:tcW w:w="6241" w:type="dxa"/>
            <w:gridSpan w:val="10"/>
            <w:tcBorders>
              <w:bottom w:val="nil"/>
            </w:tcBorders>
          </w:tcPr>
          <w:p w14:paraId="105E7167"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 1.1: Öğrenme Araçlarının ve Araştırma Kapasite Sayı ve Kalitesini Artırmak</w:t>
            </w:r>
          </w:p>
          <w:p w14:paraId="12312CE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 kapsamında, lisansüstü eğitimde öğretim üyesi başına düşen öğrenci sayısının dengeli bir düzeyde tutulması yoluyla eğitim kalitesinin ve bireysel akademik rehberliğin güçlendirilmesi amaçlanmıştır. Performans göstergesi olarak öğretim üyesi başına düşen tezli yüksek lisans öğrenci sayısı belirlenmiştir.</w:t>
            </w:r>
          </w:p>
          <w:p w14:paraId="03943B0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itibarıyla Maliye Bölümü Tezli Yüksek Lisans Programına kayıtlı öğrenci sayısı 20, programda ders veren öğretim üyesi/elemanı sayısı ise 14 olup, öğretim üyesi başına düşen öğrenci sayısı 1,43 olarak gerçekleşmiştir. Bu değer, 2025 yılı için belirlenen 1 düzeyindeki hedefin üzerinde olmakla birlikte, eğitim-öğretim süreçlerini olumsuz etkilemeyecek, aksine akademik danışmanlık ve birebir etkileşimi destekleyecek dengeli bir yapıya işaret etmektedir.</w:t>
            </w:r>
          </w:p>
          <w:p w14:paraId="68A9AD0C"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kapsamda, Strateji 1.1 açısından 2025 yılı performansının hedeflerin üzerinde ve olumlu olduğu değerlendirilmektedir.</w:t>
            </w:r>
          </w:p>
          <w:p w14:paraId="50608AF6"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 1.2: Öğrencilerin Aldıkları Eğitimle İlgili Memnuniyet Düzeyini Ölçmek</w:t>
            </w:r>
          </w:p>
          <w:p w14:paraId="22BFE4E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 kapsamında, öğrencilerin eğitim-öğretim süreçlerine ilişkin memnuniyetlerinin düzenli olarak ölçülmesi ve elde edilen geri bildirimler doğrultusunda programın sürekli iyileştirilmesi hedeflenmiştir. Performans göstergesi olarak programa kayıtlı yüksek lisans öğrencilerinin memnuniyetini ölçen anket sayısı belirlenmiştir.</w:t>
            </w:r>
          </w:p>
          <w:p w14:paraId="36BD03C0"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yılında aktif yüksek lisans öğrencilerine 1 adet memnuniyet anketi uygulanmış ve belirlenen hedefe tam olarak ulaşılmıştır. Anket sonuçlarına göre, ankete katılan öğrencilerin %100’ü eğitimlerini Maliye Bölümünde almaktan memnun olduklarını ifade etmişlerdir. Bu oranın 2024 yılında %70 düzeyinde gerçekleşmiş olması, öğrenci memnuniyetinde belirgin ve anlamlı bir artış yaşandığını göstermektedir.</w:t>
            </w:r>
          </w:p>
          <w:p w14:paraId="0C45BF6F"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Elde edilen anket sonuçları, yalnızca memnuniyet düzeyinin ölçülmesiyle sınırlı kalmamış; programın güçlü ve geliştirilmesi gereken yönlerinin belirlenmesinde etkin biçimde kullanılmıştır. Önceki yıllarda yapılan anketlerden elde edilen geri bildirimler doğrultusunda eğitim planı güncellenmiş; “Yapay Zekâ Harcamaları”, “Teoride ve Uygulamada Bütçe Açıkları” gibi güncel ve alanla ilişkili yeni dersler programa eklenmiştir.</w:t>
            </w:r>
          </w:p>
          <w:p w14:paraId="6ACDC144"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Ayrıca, önceki dönemlerde öğrenciler tarafından dile getirilen ders dışı etkinliklerin yetersizliği, 2025 yılında alınan önlemlerle önemli ölçüde giderilmiştir. Bu kapsamda, yüksek lisans öğrencilerinin katılım sağladığı çok sayıda akademik faaliyet gerçekleştirilmiş;</w:t>
            </w:r>
          </w:p>
          <w:p w14:paraId="727C3387" w14:textId="77777777" w:rsidR="000C0D45" w:rsidRPr="0093062E" w:rsidRDefault="000C0D45" w:rsidP="000C0D45">
            <w:pPr>
              <w:pStyle w:val="NormalWeb"/>
              <w:numPr>
                <w:ilvl w:val="0"/>
                <w:numId w:val="1"/>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bir</w:t>
            </w:r>
            <w:proofErr w:type="gramEnd"/>
            <w:r w:rsidRPr="0093062E">
              <w:rPr>
                <w:rFonts w:asciiTheme="majorBidi" w:hAnsiTheme="majorBidi" w:cstheme="majorBidi"/>
                <w:szCs w:val="22"/>
                <w:lang w:eastAsia="en-US"/>
              </w:rPr>
              <w:t xml:space="preserve"> öğretim üyesi öğrencisiyle SSCI indeksli yayın,</w:t>
            </w:r>
          </w:p>
          <w:p w14:paraId="21D1BC8E" w14:textId="77777777" w:rsidR="000C0D45" w:rsidRPr="0093062E" w:rsidRDefault="000C0D45" w:rsidP="000C0D45">
            <w:pPr>
              <w:pStyle w:val="NormalWeb"/>
              <w:numPr>
                <w:ilvl w:val="0"/>
                <w:numId w:val="1"/>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bir</w:t>
            </w:r>
            <w:proofErr w:type="gramEnd"/>
            <w:r w:rsidRPr="0093062E">
              <w:rPr>
                <w:rFonts w:asciiTheme="majorBidi" w:hAnsiTheme="majorBidi" w:cstheme="majorBidi"/>
                <w:szCs w:val="22"/>
                <w:lang w:eastAsia="en-US"/>
              </w:rPr>
              <w:t xml:space="preserve"> öğretim üyesi iki öğrencisiyle TR Dizin yayın,</w:t>
            </w:r>
          </w:p>
          <w:p w14:paraId="063B4677" w14:textId="77777777" w:rsidR="000C0D45" w:rsidRPr="0093062E" w:rsidRDefault="000C0D45" w:rsidP="000C0D45">
            <w:pPr>
              <w:pStyle w:val="NormalWeb"/>
              <w:numPr>
                <w:ilvl w:val="0"/>
                <w:numId w:val="1"/>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bir</w:t>
            </w:r>
            <w:proofErr w:type="gramEnd"/>
            <w:r w:rsidRPr="0093062E">
              <w:rPr>
                <w:rFonts w:asciiTheme="majorBidi" w:hAnsiTheme="majorBidi" w:cstheme="majorBidi"/>
                <w:szCs w:val="22"/>
                <w:lang w:eastAsia="en-US"/>
              </w:rPr>
              <w:t xml:space="preserve"> öğretim üyesi öğrencisiyle TÜBİTAK 1002 projesi yürütmüştür.</w:t>
            </w:r>
          </w:p>
          <w:p w14:paraId="2B0B0385"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Bunlara ek olarak, yüksek lisans öğrencilerinin de yer aldığı iç paydaş toplantısı ile bir yüksek lisans öğrencisinin konuşmacı olarak katıldığı mezunlarla kariyer söyleşisi düzenlenmiştir. Bu sonuçlar, Strateji 1.2 kapsamında belirlenen hedeflerin niteliksel olarak da güçlendirilerek gerçekleştirildiğini göstermektedir.</w:t>
            </w:r>
          </w:p>
          <w:p w14:paraId="6092D94F"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Genel Değerlendirme</w:t>
            </w:r>
          </w:p>
          <w:p w14:paraId="7CA79D4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itibarıyla, Eğitim ve Öğretim Faaliyetlerinin Kalitesini Artırmak başlığı altında belirlenen stratejik hedef ve stratejilere ilişkin performans göstergelerinde hedeflere ulaşıldığı, hatta bazı alanlarda hedeflerin aşıldığı görülmektedir. Öğretim üyesi başına düşen öğrenci sayısının dengeli bir düzeyde gerçekleşmesi, eğitim kalitesini ve akademik rehberliği desteklerken; öğrenci memnuniyet anketi sonuçları, programın öğrenci beklentilerine yüksek düzeyde cevap verdiğini ortaya koymaktadır.</w:t>
            </w:r>
          </w:p>
          <w:p w14:paraId="454A07CF"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Öğrenci geri bildirimlerinin eğitim planına ve ders dışı akademik faaliyetlere yansıtılması, bölümde sürekli iyileştirme ve öğrenci odaklı kalite kültürünün benimsendiğini göstermektedir. Bu doğrultuda, Maliye Tezli Yüksek Lisans Programının eğitim-öğretim kalitesini artırmaya yönelik stratejik amacına 2025 yılı itibarıyla başarıyla ilerlediği değerlendirilmektedir.</w:t>
            </w:r>
          </w:p>
        </w:tc>
      </w:tr>
      <w:tr w:rsidR="000C0D45" w:rsidRPr="0093062E" w14:paraId="75297E47" w14:textId="77777777" w:rsidTr="0008122D">
        <w:trPr>
          <w:trHeight w:val="274"/>
        </w:trPr>
        <w:tc>
          <w:tcPr>
            <w:tcW w:w="10338" w:type="dxa"/>
            <w:gridSpan w:val="11"/>
            <w:tcBorders>
              <w:left w:val="nil"/>
              <w:bottom w:val="nil"/>
              <w:right w:val="nil"/>
            </w:tcBorders>
          </w:tcPr>
          <w:p w14:paraId="4406D771" w14:textId="77777777" w:rsidR="000C0D45" w:rsidRPr="0093062E" w:rsidRDefault="000C0D45" w:rsidP="0008122D">
            <w:pPr>
              <w:widowControl w:val="0"/>
              <w:autoSpaceDE w:val="0"/>
              <w:autoSpaceDN w:val="0"/>
              <w:spacing w:after="0" w:line="255" w:lineRule="exact"/>
              <w:ind w:left="112"/>
              <w:jc w:val="both"/>
              <w:rPr>
                <w:rFonts w:asciiTheme="majorBidi" w:eastAsia="Times New Roman" w:hAnsiTheme="majorBidi" w:cstheme="majorBidi"/>
                <w:kern w:val="0"/>
                <w:sz w:val="24"/>
                <w:szCs w:val="24"/>
                <w14:ligatures w14:val="none"/>
              </w:rPr>
            </w:pPr>
            <w:r w:rsidRPr="0093062E">
              <w:rPr>
                <w:rFonts w:asciiTheme="majorBidi" w:eastAsia="Times New Roman" w:hAnsiTheme="majorBidi" w:cstheme="majorBidi"/>
                <w:b/>
                <w:kern w:val="0"/>
                <w:sz w:val="24"/>
                <w:szCs w:val="24"/>
                <w14:ligatures w14:val="none"/>
              </w:rPr>
              <w:t>H:</w:t>
            </w:r>
            <w:r w:rsidRPr="0093062E">
              <w:rPr>
                <w:rFonts w:asciiTheme="majorBidi" w:eastAsia="Times New Roman" w:hAnsiTheme="majorBidi" w:cstheme="majorBidi"/>
                <w:b/>
                <w:spacing w:val="-3"/>
                <w:kern w:val="0"/>
                <w:sz w:val="24"/>
                <w:szCs w:val="24"/>
                <w14:ligatures w14:val="none"/>
              </w:rPr>
              <w:t xml:space="preserve"> </w:t>
            </w:r>
            <w:r w:rsidRPr="0093062E">
              <w:rPr>
                <w:rFonts w:asciiTheme="majorBidi" w:eastAsia="Times New Roman" w:hAnsiTheme="majorBidi" w:cstheme="majorBidi"/>
                <w:kern w:val="0"/>
                <w:sz w:val="24"/>
                <w:szCs w:val="24"/>
                <w14:ligatures w14:val="none"/>
              </w:rPr>
              <w:t>Hedeflenen;</w:t>
            </w:r>
            <w:r w:rsidRPr="0093062E">
              <w:rPr>
                <w:rFonts w:asciiTheme="majorBidi" w:eastAsia="Times New Roman" w:hAnsiTheme="majorBidi" w:cstheme="majorBidi"/>
                <w:spacing w:val="-1"/>
                <w:kern w:val="0"/>
                <w:sz w:val="24"/>
                <w:szCs w:val="24"/>
                <w14:ligatures w14:val="none"/>
              </w:rPr>
              <w:t xml:space="preserve"> </w:t>
            </w:r>
            <w:r w:rsidRPr="0093062E">
              <w:rPr>
                <w:rFonts w:asciiTheme="majorBidi" w:eastAsia="Times New Roman" w:hAnsiTheme="majorBidi" w:cstheme="majorBidi"/>
                <w:b/>
                <w:kern w:val="0"/>
                <w:sz w:val="24"/>
                <w:szCs w:val="24"/>
                <w14:ligatures w14:val="none"/>
              </w:rPr>
              <w:t>G:</w:t>
            </w:r>
            <w:r w:rsidRPr="0093062E">
              <w:rPr>
                <w:rFonts w:asciiTheme="majorBidi" w:eastAsia="Times New Roman" w:hAnsiTheme="majorBidi" w:cstheme="majorBidi"/>
                <w:b/>
                <w:spacing w:val="-3"/>
                <w:kern w:val="0"/>
                <w:sz w:val="24"/>
                <w:szCs w:val="24"/>
                <w14:ligatures w14:val="none"/>
              </w:rPr>
              <w:t xml:space="preserve"> </w:t>
            </w:r>
            <w:r w:rsidRPr="0093062E">
              <w:rPr>
                <w:rFonts w:asciiTheme="majorBidi" w:eastAsia="Times New Roman" w:hAnsiTheme="majorBidi" w:cstheme="majorBidi"/>
                <w:kern w:val="0"/>
                <w:sz w:val="24"/>
                <w:szCs w:val="24"/>
                <w14:ligatures w14:val="none"/>
              </w:rPr>
              <w:t>Gerçekleşme</w:t>
            </w:r>
          </w:p>
          <w:p w14:paraId="5583F439" w14:textId="77777777" w:rsidR="000C0D45" w:rsidRPr="0093062E" w:rsidRDefault="000C0D45" w:rsidP="0008122D">
            <w:pPr>
              <w:widowControl w:val="0"/>
              <w:autoSpaceDE w:val="0"/>
              <w:autoSpaceDN w:val="0"/>
              <w:spacing w:after="0" w:line="255" w:lineRule="exact"/>
              <w:ind w:left="112"/>
              <w:jc w:val="both"/>
              <w:rPr>
                <w:rFonts w:asciiTheme="majorBidi" w:eastAsia="Times New Roman" w:hAnsiTheme="majorBidi" w:cstheme="majorBidi"/>
                <w:kern w:val="0"/>
                <w:sz w:val="24"/>
                <w:szCs w:val="24"/>
                <w14:ligatures w14:val="none"/>
              </w:rPr>
            </w:pPr>
          </w:p>
          <w:p w14:paraId="423D174F" w14:textId="77777777" w:rsidR="000C0D45" w:rsidRPr="0093062E" w:rsidRDefault="000C0D45" w:rsidP="0008122D">
            <w:pPr>
              <w:spacing w:before="120"/>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 xml:space="preserve">STRATEJİK AMAÇ: KURUMUN TANINIRLIĞINI GELİŞTİRMEK VE KURUMSALLAŞTIRMAYI KUVVETLENDİRMEK  </w:t>
            </w:r>
          </w:p>
          <w:p w14:paraId="3CB3FB0E" w14:textId="77777777" w:rsidR="000C0D45" w:rsidRPr="0093062E" w:rsidRDefault="000C0D45" w:rsidP="0008122D">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Stratejik Hedef:</w:t>
            </w:r>
            <w:r w:rsidRPr="0093062E">
              <w:rPr>
                <w:rFonts w:ascii="Times New Roman" w:hAnsi="Times New Roman"/>
                <w:kern w:val="0"/>
                <w:sz w:val="24"/>
                <w:szCs w:val="24"/>
                <w14:ligatures w14:val="none"/>
              </w:rPr>
              <w:t xml:space="preserve"> Bölüm kültürünü korumak, geliştirmek ve sürekliliğini sağlamak  </w:t>
            </w:r>
          </w:p>
          <w:p w14:paraId="5FB31B41" w14:textId="77777777" w:rsidR="000C0D45" w:rsidRPr="0093062E" w:rsidRDefault="000C0D45" w:rsidP="0008122D">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1.1.:</w:t>
            </w:r>
            <w:r w:rsidRPr="0093062E">
              <w:rPr>
                <w:rFonts w:ascii="Times New Roman" w:hAnsi="Times New Roman"/>
                <w:kern w:val="0"/>
                <w:sz w:val="24"/>
                <w:szCs w:val="24"/>
                <w14:ligatures w14:val="none"/>
              </w:rPr>
              <w:t xml:space="preserve"> Maliye bölümü yüksek lisans mezunları ile iletişimi güçlendirmek</w:t>
            </w:r>
          </w:p>
        </w:tc>
      </w:tr>
      <w:tr w:rsidR="000C0D45" w:rsidRPr="0093062E" w14:paraId="36B2985C" w14:textId="77777777" w:rsidTr="0008122D">
        <w:trPr>
          <w:trHeight w:val="277"/>
        </w:trPr>
        <w:tc>
          <w:tcPr>
            <w:tcW w:w="4097" w:type="dxa"/>
            <w:vMerge w:val="restart"/>
          </w:tcPr>
          <w:p w14:paraId="53DE58B0" w14:textId="77777777" w:rsidR="000C0D45" w:rsidRPr="0093062E" w:rsidRDefault="000C0D45" w:rsidP="0008122D">
            <w:pPr>
              <w:widowControl w:val="0"/>
              <w:autoSpaceDE w:val="0"/>
              <w:autoSpaceDN w:val="0"/>
              <w:spacing w:before="143" w:after="0" w:line="240" w:lineRule="auto"/>
              <w:ind w:left="10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Performans</w:t>
            </w:r>
            <w:r w:rsidRPr="0093062E">
              <w:rPr>
                <w:rFonts w:asciiTheme="majorBidi" w:eastAsia="Times New Roman" w:hAnsiTheme="majorBidi" w:cstheme="majorBidi"/>
                <w:b/>
                <w:spacing w:val="-4"/>
                <w:kern w:val="0"/>
                <w:sz w:val="24"/>
                <w:szCs w:val="24"/>
                <w14:ligatures w14:val="none"/>
              </w:rPr>
              <w:t xml:space="preserve"> </w:t>
            </w:r>
            <w:r w:rsidRPr="0093062E">
              <w:rPr>
                <w:rFonts w:asciiTheme="majorBidi" w:eastAsia="Times New Roman" w:hAnsiTheme="majorBidi" w:cstheme="majorBidi"/>
                <w:b/>
                <w:kern w:val="0"/>
                <w:sz w:val="24"/>
                <w:szCs w:val="24"/>
                <w14:ligatures w14:val="none"/>
              </w:rPr>
              <w:t>Göstergeleri</w:t>
            </w:r>
          </w:p>
        </w:tc>
        <w:tc>
          <w:tcPr>
            <w:tcW w:w="1189" w:type="dxa"/>
            <w:gridSpan w:val="2"/>
          </w:tcPr>
          <w:p w14:paraId="13FD2B30" w14:textId="77777777" w:rsidR="000C0D45" w:rsidRPr="0093062E" w:rsidRDefault="000C0D45" w:rsidP="0008122D">
            <w:pPr>
              <w:widowControl w:val="0"/>
              <w:autoSpaceDE w:val="0"/>
              <w:autoSpaceDN w:val="0"/>
              <w:spacing w:before="1" w:after="0" w:line="257" w:lineRule="exact"/>
              <w:ind w:left="35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2024</w:t>
            </w:r>
          </w:p>
        </w:tc>
        <w:tc>
          <w:tcPr>
            <w:tcW w:w="1093" w:type="dxa"/>
            <w:gridSpan w:val="2"/>
          </w:tcPr>
          <w:p w14:paraId="726E7C58" w14:textId="77777777" w:rsidR="000C0D45" w:rsidRPr="0093062E" w:rsidRDefault="000C0D45" w:rsidP="0008122D">
            <w:pPr>
              <w:widowControl w:val="0"/>
              <w:autoSpaceDE w:val="0"/>
              <w:autoSpaceDN w:val="0"/>
              <w:spacing w:before="1" w:after="0" w:line="257" w:lineRule="exact"/>
              <w:ind w:left="306"/>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2025</w:t>
            </w:r>
          </w:p>
        </w:tc>
        <w:tc>
          <w:tcPr>
            <w:tcW w:w="1192" w:type="dxa"/>
            <w:gridSpan w:val="2"/>
          </w:tcPr>
          <w:p w14:paraId="13A526BF" w14:textId="77777777" w:rsidR="000C0D45" w:rsidRPr="0093062E" w:rsidRDefault="000C0D45" w:rsidP="0008122D">
            <w:pPr>
              <w:widowControl w:val="0"/>
              <w:autoSpaceDE w:val="0"/>
              <w:autoSpaceDN w:val="0"/>
              <w:spacing w:before="1" w:after="0" w:line="257" w:lineRule="exact"/>
              <w:ind w:left="35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2026</w:t>
            </w:r>
          </w:p>
        </w:tc>
        <w:tc>
          <w:tcPr>
            <w:tcW w:w="1191" w:type="dxa"/>
            <w:gridSpan w:val="2"/>
          </w:tcPr>
          <w:p w14:paraId="41CC1AB8" w14:textId="77777777" w:rsidR="000C0D45" w:rsidRPr="0093062E" w:rsidRDefault="000C0D45" w:rsidP="0008122D">
            <w:pPr>
              <w:widowControl w:val="0"/>
              <w:autoSpaceDE w:val="0"/>
              <w:autoSpaceDN w:val="0"/>
              <w:spacing w:before="1" w:after="0" w:line="257" w:lineRule="exact"/>
              <w:ind w:left="352"/>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2027</w:t>
            </w:r>
          </w:p>
        </w:tc>
        <w:tc>
          <w:tcPr>
            <w:tcW w:w="1576" w:type="dxa"/>
            <w:gridSpan w:val="2"/>
          </w:tcPr>
          <w:p w14:paraId="4E29DA90" w14:textId="77777777" w:rsidR="000C0D45" w:rsidRPr="0093062E" w:rsidRDefault="000C0D45" w:rsidP="0008122D">
            <w:pPr>
              <w:widowControl w:val="0"/>
              <w:autoSpaceDE w:val="0"/>
              <w:autoSpaceDN w:val="0"/>
              <w:spacing w:before="1" w:after="0" w:line="257" w:lineRule="exact"/>
              <w:ind w:left="39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2028</w:t>
            </w:r>
          </w:p>
        </w:tc>
      </w:tr>
      <w:tr w:rsidR="000C0D45" w:rsidRPr="0093062E" w14:paraId="4B4360E0" w14:textId="77777777" w:rsidTr="0008122D">
        <w:trPr>
          <w:trHeight w:val="275"/>
        </w:trPr>
        <w:tc>
          <w:tcPr>
            <w:tcW w:w="4097" w:type="dxa"/>
            <w:vMerge/>
            <w:tcBorders>
              <w:top w:val="nil"/>
            </w:tcBorders>
          </w:tcPr>
          <w:p w14:paraId="7C8BD749"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3" w:type="dxa"/>
          </w:tcPr>
          <w:p w14:paraId="1BCF11DE" w14:textId="77777777" w:rsidR="000C0D45" w:rsidRPr="0093062E" w:rsidRDefault="000C0D45" w:rsidP="0008122D">
            <w:pPr>
              <w:widowControl w:val="0"/>
              <w:autoSpaceDE w:val="0"/>
              <w:autoSpaceDN w:val="0"/>
              <w:spacing w:after="0" w:line="256" w:lineRule="exact"/>
              <w:ind w:left="20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6" w:type="dxa"/>
          </w:tcPr>
          <w:p w14:paraId="71ED3F59" w14:textId="77777777" w:rsidR="000C0D45" w:rsidRPr="0093062E" w:rsidRDefault="000C0D45" w:rsidP="0008122D">
            <w:pPr>
              <w:widowControl w:val="0"/>
              <w:autoSpaceDE w:val="0"/>
              <w:autoSpaceDN w:val="0"/>
              <w:spacing w:after="0" w:line="256" w:lineRule="exact"/>
              <w:ind w:left="206"/>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495" w:type="dxa"/>
          </w:tcPr>
          <w:p w14:paraId="35A42109" w14:textId="77777777" w:rsidR="000C0D45" w:rsidRPr="0093062E" w:rsidRDefault="000C0D45" w:rsidP="0008122D">
            <w:pPr>
              <w:widowControl w:val="0"/>
              <w:autoSpaceDE w:val="0"/>
              <w:autoSpaceDN w:val="0"/>
              <w:spacing w:after="0" w:line="256" w:lineRule="exact"/>
              <w:ind w:left="15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8" w:type="dxa"/>
          </w:tcPr>
          <w:p w14:paraId="749418BA" w14:textId="77777777" w:rsidR="000C0D45" w:rsidRPr="0093062E" w:rsidRDefault="000C0D45" w:rsidP="0008122D">
            <w:pPr>
              <w:widowControl w:val="0"/>
              <w:autoSpaceDE w:val="0"/>
              <w:autoSpaceDN w:val="0"/>
              <w:spacing w:after="0" w:line="256" w:lineRule="exact"/>
              <w:ind w:left="8"/>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6" w:type="dxa"/>
          </w:tcPr>
          <w:p w14:paraId="70859C31" w14:textId="77777777" w:rsidR="000C0D45" w:rsidRPr="0093062E" w:rsidRDefault="000C0D45" w:rsidP="0008122D">
            <w:pPr>
              <w:widowControl w:val="0"/>
              <w:autoSpaceDE w:val="0"/>
              <w:autoSpaceDN w:val="0"/>
              <w:spacing w:after="0" w:line="256" w:lineRule="exact"/>
              <w:ind w:right="195"/>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6" w:type="dxa"/>
          </w:tcPr>
          <w:p w14:paraId="50C5F11F" w14:textId="77777777" w:rsidR="000C0D45" w:rsidRPr="0093062E" w:rsidRDefault="000C0D45" w:rsidP="0008122D">
            <w:pPr>
              <w:widowControl w:val="0"/>
              <w:autoSpaceDE w:val="0"/>
              <w:autoSpaceDN w:val="0"/>
              <w:spacing w:after="0" w:line="256" w:lineRule="exact"/>
              <w:ind w:left="3"/>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7" w:type="dxa"/>
          </w:tcPr>
          <w:p w14:paraId="54C00CB3" w14:textId="77777777" w:rsidR="000C0D45" w:rsidRPr="0093062E" w:rsidRDefault="000C0D45" w:rsidP="0008122D">
            <w:pPr>
              <w:widowControl w:val="0"/>
              <w:autoSpaceDE w:val="0"/>
              <w:autoSpaceDN w:val="0"/>
              <w:spacing w:after="0" w:line="256" w:lineRule="exact"/>
              <w:ind w:right="197"/>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594" w:type="dxa"/>
          </w:tcPr>
          <w:p w14:paraId="66B41215" w14:textId="77777777" w:rsidR="000C0D45" w:rsidRPr="0093062E" w:rsidRDefault="000C0D45" w:rsidP="0008122D">
            <w:pPr>
              <w:widowControl w:val="0"/>
              <w:autoSpaceDE w:val="0"/>
              <w:autoSpaceDN w:val="0"/>
              <w:spacing w:after="0" w:line="256" w:lineRule="exact"/>
              <w:ind w:left="1"/>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c>
          <w:tcPr>
            <w:tcW w:w="596" w:type="dxa"/>
          </w:tcPr>
          <w:p w14:paraId="25268E6A" w14:textId="77777777" w:rsidR="000C0D45" w:rsidRPr="0093062E" w:rsidRDefault="000C0D45" w:rsidP="0008122D">
            <w:pPr>
              <w:widowControl w:val="0"/>
              <w:autoSpaceDE w:val="0"/>
              <w:autoSpaceDN w:val="0"/>
              <w:spacing w:after="0" w:line="256" w:lineRule="exact"/>
              <w:ind w:left="2"/>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H</w:t>
            </w:r>
          </w:p>
        </w:tc>
        <w:tc>
          <w:tcPr>
            <w:tcW w:w="980" w:type="dxa"/>
          </w:tcPr>
          <w:p w14:paraId="533249BB" w14:textId="77777777" w:rsidR="000C0D45" w:rsidRPr="0093062E" w:rsidRDefault="000C0D45" w:rsidP="0008122D">
            <w:pPr>
              <w:widowControl w:val="0"/>
              <w:autoSpaceDE w:val="0"/>
              <w:autoSpaceDN w:val="0"/>
              <w:spacing w:after="0" w:line="256" w:lineRule="exact"/>
              <w:jc w:val="both"/>
              <w:rPr>
                <w:rFonts w:asciiTheme="majorBidi" w:eastAsia="Times New Roman" w:hAnsiTheme="majorBidi" w:cstheme="majorBidi"/>
                <w:b/>
                <w:kern w:val="0"/>
                <w:sz w:val="24"/>
                <w:szCs w:val="24"/>
                <w14:ligatures w14:val="none"/>
              </w:rPr>
            </w:pPr>
            <w:r w:rsidRPr="0093062E">
              <w:rPr>
                <w:rFonts w:asciiTheme="majorBidi" w:eastAsia="Times New Roman" w:hAnsiTheme="majorBidi" w:cstheme="majorBidi"/>
                <w:b/>
                <w:kern w:val="0"/>
                <w:sz w:val="24"/>
                <w:szCs w:val="24"/>
                <w14:ligatures w14:val="none"/>
              </w:rPr>
              <w:t>G</w:t>
            </w:r>
          </w:p>
        </w:tc>
      </w:tr>
      <w:tr w:rsidR="000C0D45" w:rsidRPr="0093062E" w14:paraId="302051AB" w14:textId="77777777" w:rsidTr="0008122D">
        <w:trPr>
          <w:trHeight w:val="551"/>
        </w:trPr>
        <w:tc>
          <w:tcPr>
            <w:tcW w:w="4097" w:type="dxa"/>
          </w:tcPr>
          <w:p w14:paraId="72E85853" w14:textId="77777777" w:rsidR="000C0D45" w:rsidRPr="0093062E" w:rsidRDefault="000C0D45"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 xml:space="preserve">Mezunlara yönelik etkinlik sayısı </w:t>
            </w:r>
          </w:p>
        </w:tc>
        <w:tc>
          <w:tcPr>
            <w:tcW w:w="593" w:type="dxa"/>
            <w:vAlign w:val="center"/>
          </w:tcPr>
          <w:p w14:paraId="56915805" w14:textId="77777777" w:rsidR="000C0D45" w:rsidRPr="0093062E" w:rsidRDefault="000C0D45"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vAlign w:val="center"/>
          </w:tcPr>
          <w:p w14:paraId="20EA9900"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495" w:type="dxa"/>
            <w:vAlign w:val="center"/>
          </w:tcPr>
          <w:p w14:paraId="62FC5F07" w14:textId="77777777" w:rsidR="000C0D45" w:rsidRPr="0093062E" w:rsidRDefault="000C0D45"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8" w:type="dxa"/>
            <w:vAlign w:val="center"/>
          </w:tcPr>
          <w:p w14:paraId="06D67B12"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eastAsia="Times New Roman" w:hAnsiTheme="majorBidi" w:cstheme="majorBidi"/>
                <w:kern w:val="0"/>
                <w:sz w:val="24"/>
                <w:szCs w:val="24"/>
                <w14:ligatures w14:val="none"/>
              </w:rPr>
              <w:t>1</w:t>
            </w:r>
          </w:p>
        </w:tc>
        <w:tc>
          <w:tcPr>
            <w:tcW w:w="596" w:type="dxa"/>
            <w:vAlign w:val="center"/>
          </w:tcPr>
          <w:p w14:paraId="6D3C07C0" w14:textId="77777777" w:rsidR="000C0D45" w:rsidRPr="0093062E" w:rsidRDefault="000C0D45"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vAlign w:val="center"/>
          </w:tcPr>
          <w:p w14:paraId="33024304"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78D1CA70" w14:textId="77777777" w:rsidR="000C0D45" w:rsidRPr="0093062E" w:rsidRDefault="000C0D45"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4" w:type="dxa"/>
            <w:vAlign w:val="center"/>
          </w:tcPr>
          <w:p w14:paraId="235030A9"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5667948A" w14:textId="77777777" w:rsidR="000C0D45" w:rsidRPr="0093062E" w:rsidRDefault="000C0D45"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980" w:type="dxa"/>
            <w:vAlign w:val="center"/>
          </w:tcPr>
          <w:p w14:paraId="5EBA677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0C0D45" w:rsidRPr="0093062E" w14:paraId="3F088128" w14:textId="77777777" w:rsidTr="0008122D">
        <w:trPr>
          <w:trHeight w:val="551"/>
        </w:trPr>
        <w:tc>
          <w:tcPr>
            <w:tcW w:w="4097" w:type="dxa"/>
          </w:tcPr>
          <w:p w14:paraId="62E9D640" w14:textId="77777777" w:rsidR="000C0D45" w:rsidRPr="0093062E" w:rsidRDefault="000C0D45"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Mezunlara Yönelik Anket Sayısı</w:t>
            </w:r>
          </w:p>
        </w:tc>
        <w:tc>
          <w:tcPr>
            <w:tcW w:w="593" w:type="dxa"/>
            <w:vAlign w:val="center"/>
          </w:tcPr>
          <w:p w14:paraId="3FCD39E1" w14:textId="77777777" w:rsidR="000C0D45" w:rsidRPr="0093062E" w:rsidRDefault="000C0D45"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vAlign w:val="center"/>
          </w:tcPr>
          <w:p w14:paraId="3F32446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495" w:type="dxa"/>
            <w:vAlign w:val="center"/>
          </w:tcPr>
          <w:p w14:paraId="06771131" w14:textId="77777777" w:rsidR="000C0D45" w:rsidRPr="0093062E" w:rsidRDefault="000C0D45"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8" w:type="dxa"/>
            <w:vAlign w:val="center"/>
          </w:tcPr>
          <w:p w14:paraId="20DB3C40"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93062E">
              <w:rPr>
                <w:rFonts w:asciiTheme="majorBidi" w:eastAsia="Times New Roman" w:hAnsiTheme="majorBidi" w:cstheme="majorBidi"/>
                <w:kern w:val="0"/>
                <w:sz w:val="24"/>
                <w:szCs w:val="24"/>
                <w14:ligatures w14:val="none"/>
              </w:rPr>
              <w:t>1</w:t>
            </w:r>
          </w:p>
        </w:tc>
        <w:tc>
          <w:tcPr>
            <w:tcW w:w="596" w:type="dxa"/>
            <w:vAlign w:val="center"/>
          </w:tcPr>
          <w:p w14:paraId="15A3269D" w14:textId="77777777" w:rsidR="000C0D45" w:rsidRPr="0093062E" w:rsidRDefault="000C0D45"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6" w:type="dxa"/>
            <w:vAlign w:val="center"/>
          </w:tcPr>
          <w:p w14:paraId="2F0D13D4"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23BE67BC" w14:textId="77777777" w:rsidR="000C0D45" w:rsidRPr="0093062E" w:rsidRDefault="000C0D45"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594" w:type="dxa"/>
            <w:vAlign w:val="center"/>
          </w:tcPr>
          <w:p w14:paraId="5A9E683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0A110CC8" w14:textId="77777777" w:rsidR="000C0D45" w:rsidRPr="0093062E" w:rsidRDefault="000C0D45"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1</w:t>
            </w:r>
          </w:p>
        </w:tc>
        <w:tc>
          <w:tcPr>
            <w:tcW w:w="980" w:type="dxa"/>
            <w:vAlign w:val="center"/>
          </w:tcPr>
          <w:p w14:paraId="4B23FF5D"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0C0D45" w:rsidRPr="0093062E" w14:paraId="19DB3911" w14:textId="77777777" w:rsidTr="0008122D">
        <w:trPr>
          <w:trHeight w:val="317"/>
        </w:trPr>
        <w:tc>
          <w:tcPr>
            <w:tcW w:w="4097" w:type="dxa"/>
            <w:vAlign w:val="center"/>
          </w:tcPr>
          <w:p w14:paraId="444FA45D" w14:textId="77777777" w:rsidR="000C0D45" w:rsidRPr="0093062E" w:rsidRDefault="000C0D45" w:rsidP="0008122D">
            <w:pPr>
              <w:widowControl w:val="0"/>
              <w:autoSpaceDE w:val="0"/>
              <w:autoSpaceDN w:val="0"/>
              <w:spacing w:after="0" w:line="274" w:lineRule="exact"/>
              <w:ind w:left="107"/>
              <w:jc w:val="both"/>
              <w:rPr>
                <w:rFonts w:asciiTheme="majorBidi" w:eastAsia="Times New Roman" w:hAnsiTheme="majorBidi" w:cstheme="majorBidi"/>
                <w:kern w:val="0"/>
                <w:sz w:val="24"/>
                <w:szCs w:val="24"/>
                <w14:ligatures w14:val="none"/>
              </w:rPr>
            </w:pPr>
            <w:r w:rsidRPr="0093062E">
              <w:rPr>
                <w:rFonts w:asciiTheme="majorBidi" w:hAnsiTheme="majorBidi" w:cstheme="majorBidi"/>
                <w:sz w:val="24"/>
                <w:szCs w:val="24"/>
              </w:rPr>
              <w:t>Değerlendirme</w:t>
            </w:r>
          </w:p>
        </w:tc>
        <w:tc>
          <w:tcPr>
            <w:tcW w:w="6241" w:type="dxa"/>
            <w:gridSpan w:val="10"/>
          </w:tcPr>
          <w:p w14:paraId="3E614C8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itibarıyla, Maliye Bölümü lisansüstü mezunları ile iletişimin güçlendirilmesine yönelik olarak belirlenen performans göstergeleri doğrultusunda hedeflere ulaşılmıştır. Bu kapsamda, mezunlara yönelik etkinlik sayısı ve mezun memnuniyetini ölçmeye yönelik anket uygulamaları planlanan düzeyde gerçekleştirilmiştir.</w:t>
            </w:r>
          </w:p>
          <w:p w14:paraId="35C23249"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Mezunlara yönelik etkinlik sayısı performans göstergesi kapsamında, 23.05.2025 tarihinde lisansüstü mezunların katılımıyla çevrim içi olarak “Lisansüstü Mezun Buluşması” düzenlenmiştir. Söz konusu etkinlik ile mezunların bölümle olan bağlarının sürdürülmesi, mezunlar arası iletişimin artırılması ve kurumsal aidiyet duygusunun güçlendirilmesi amaçlanmıştır. Hedeflenen etkinlik sayısına ulaşılması, mezunlarla sürdürülebilir iletişim kurulmasına yönelik çalışmaların etkin biçimde yürütüldüğünü göstermektedir. Bu doğrultuda, mezun buluşmalarının ilerleyen yıllarda da düzenli olarak sürdürülmesi planlanmaktadır.</w:t>
            </w:r>
          </w:p>
          <w:p w14:paraId="760FE06D"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Mezunlara yönelik anket sayısı performans göstergesi kapsamında ise 2025 yılında 1 adet lisansüstü mezun anketi uygulanmış ve belirlenen hedef gerçekleştirilmiştir. Bölümde lisansüstü mezunlara yönelik anketler her yıl düzenli olarak yapılmakta olup, bu anketler yüksek lisans ve doktora programlarının güçlü ve geliştirilmesi gereken yönlerinin belirlenmesinde önemli bir geri bildirim mekanizması işlevi görmektedir.</w:t>
            </w:r>
          </w:p>
          <w:p w14:paraId="5A21A17E"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Geçmiş yıllarda gerçekleştirilen mezun anketlerinden elde edilen bulgular doğrultusunda, lisansüstü eğitim planı gözden geçirilmiş ve “Teoride ve Uygulamada Bütçe Açıkları”, “Servet Dağılımının Mali Yansımaları”, “Kamu Kesiminde Mali Saydamlık” ve “Yapay Zekâ Harcamaları” gibi güncel ve alanla ilişkili dersler eğitim planına eklenmiştir. Bu durum, mezun geri bildirimlerinin program geliştirme süreçlerine etkin biçimde yansıtıldığını göstermektedir.</w:t>
            </w:r>
          </w:p>
          <w:p w14:paraId="573D4E31"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mezun anketi sonuçlarına göre, ankete katılan mezunların %73’ü, imkânları olması hâlinde lisansüstü eğitimlerini yeniden Maliye Bölümünde almayı tercih edeceklerini ifade etmiş; yaklaşık %90’ı ise mezun oldukları programda kaliteli bir eğitim aldıklarını belirtmiştir. Elde edilen bu bulgular, mezunların lisansüstü eğitim süreçlerine ilişkin memnuniyet düzeyinin yüksek olduğunu ve bölümün akademik niteliğine yönelik olumlu bir algının bulunduğunu ortaya koymaktadır.</w:t>
            </w:r>
          </w:p>
          <w:p w14:paraId="65ED8B7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Sonuç olarak, 2025 yılında mezunlara yönelik etkinlik ve anket uygulamalarına ilişkin tüm performans göstergelerinde hedeflere ulaşılmış; mezunlarla iletişimin güçlendirilmesine ve bölüm kültürünün sürekliliğinin sağlanmasına yönelik çalışmaların etkili bir şekilde yürütüldüğü değerlendirilmiştir. Bu doğrultuda, mezunlarla ilişkilerin kurumsal bir yapı içinde sürdürülmesine ve bölüm tanınırlığının artırılmasına yönelik faaliyetlerin önümüzdeki yıllarda da devam ettirilmesi hedeflenmektedir.</w:t>
            </w:r>
          </w:p>
          <w:p w14:paraId="650C09A7" w14:textId="77777777" w:rsidR="000C0D45" w:rsidRPr="0093062E" w:rsidRDefault="000C0D45" w:rsidP="0008122D">
            <w:pPr>
              <w:spacing w:after="0"/>
              <w:jc w:val="both"/>
              <w:rPr>
                <w:rFonts w:asciiTheme="majorBidi" w:eastAsia="Times New Roman" w:hAnsiTheme="majorBidi" w:cstheme="majorBidi"/>
                <w:kern w:val="0"/>
                <w:sz w:val="24"/>
                <w14:ligatures w14:val="none"/>
              </w:rPr>
            </w:pPr>
          </w:p>
        </w:tc>
      </w:tr>
    </w:tbl>
    <w:p w14:paraId="0A28FC26" w14:textId="77777777" w:rsidR="000C0D45" w:rsidRPr="0093062E" w:rsidRDefault="000C0D45" w:rsidP="000C0D45">
      <w:pPr>
        <w:spacing w:after="0" w:line="255" w:lineRule="exact"/>
        <w:ind w:left="112"/>
        <w:jc w:val="both"/>
        <w:rPr>
          <w:rFonts w:ascii="Times New Roman" w:eastAsia="Times New Roman" w:hAnsi="Times New Roman" w:cs="Times New Roman"/>
          <w:bCs/>
          <w:kern w:val="0"/>
          <w:sz w:val="24"/>
          <w14:ligatures w14:val="none"/>
        </w:rPr>
      </w:pPr>
      <w:r w:rsidRPr="0093062E">
        <w:rPr>
          <w:rFonts w:ascii="Times New Roman" w:eastAsia="Times New Roman" w:hAnsi="Times New Roman" w:cs="Arial"/>
          <w:b/>
          <w:kern w:val="0"/>
          <w:sz w:val="24"/>
          <w14:ligatures w14:val="none"/>
        </w:rPr>
        <w:t xml:space="preserve">   H: </w:t>
      </w:r>
      <w:r w:rsidRPr="0093062E">
        <w:rPr>
          <w:rFonts w:ascii="Times New Roman" w:eastAsia="Times New Roman" w:hAnsi="Times New Roman" w:cs="Arial"/>
          <w:bCs/>
          <w:kern w:val="0"/>
          <w:sz w:val="24"/>
          <w14:ligatures w14:val="none"/>
        </w:rPr>
        <w:t>Hedeflenen;</w:t>
      </w:r>
      <w:r w:rsidRPr="0093062E">
        <w:rPr>
          <w:rFonts w:ascii="Times New Roman" w:eastAsia="Times New Roman" w:hAnsi="Times New Roman" w:cs="Arial"/>
          <w:b/>
          <w:kern w:val="0"/>
          <w:sz w:val="24"/>
          <w14:ligatures w14:val="none"/>
        </w:rPr>
        <w:t xml:space="preserve"> G: </w:t>
      </w:r>
      <w:r w:rsidRPr="0093062E">
        <w:rPr>
          <w:rFonts w:ascii="Times New Roman" w:eastAsia="Times New Roman" w:hAnsi="Times New Roman" w:cs="Arial"/>
          <w:bCs/>
          <w:kern w:val="0"/>
          <w:sz w:val="24"/>
          <w14:ligatures w14:val="none"/>
        </w:rPr>
        <w:t>Gerçekleşme</w:t>
      </w:r>
    </w:p>
    <w:p w14:paraId="615DEF68" w14:textId="77777777" w:rsidR="000C0D45" w:rsidRPr="0093062E" w:rsidRDefault="000C0D45" w:rsidP="000C0D45">
      <w:pPr>
        <w:spacing w:after="0" w:line="255" w:lineRule="exact"/>
        <w:ind w:left="112"/>
        <w:jc w:val="both"/>
        <w:rPr>
          <w:rFonts w:ascii="Times New Roman" w:eastAsia="Times New Roman" w:hAnsi="Times New Roman" w:cs="Times New Roman"/>
          <w:b/>
          <w:kern w:val="0"/>
          <w:sz w:val="24"/>
          <w14:ligatures w14:val="none"/>
        </w:rPr>
      </w:pPr>
    </w:p>
    <w:p w14:paraId="6BB64C0F" w14:textId="77777777" w:rsidR="000C0D45" w:rsidRPr="0093062E" w:rsidRDefault="000C0D45" w:rsidP="000C0D45">
      <w:pPr>
        <w:spacing w:after="0" w:line="240" w:lineRule="auto"/>
        <w:jc w:val="both"/>
        <w:rPr>
          <w:rFonts w:ascii="Times New Roman" w:hAnsi="Times New Roman"/>
          <w:b/>
          <w:bCs/>
          <w:kern w:val="0"/>
          <w:sz w:val="24"/>
          <w:szCs w:val="24"/>
          <w14:ligatures w14:val="none"/>
        </w:rPr>
      </w:pPr>
      <w:r w:rsidRPr="0093062E">
        <w:rPr>
          <w:rFonts w:ascii="Times New Roman" w:hAnsi="Times New Roman"/>
          <w:b/>
          <w:bCs/>
          <w:kern w:val="0"/>
          <w:sz w:val="24"/>
          <w:szCs w:val="24"/>
          <w14:ligatures w14:val="none"/>
        </w:rPr>
        <w:t xml:space="preserve">STRATEJİK AMAÇ: KURUMUN TANINIRLIĞINI GELİŞTİRMEK VE KURUMSALLAŞTIRMAYI KUVVETLENDİRMEK  </w:t>
      </w:r>
    </w:p>
    <w:p w14:paraId="4B90CF23"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Stratejik Hedef:</w:t>
      </w:r>
      <w:r w:rsidRPr="0093062E">
        <w:rPr>
          <w:rFonts w:ascii="Times New Roman" w:hAnsi="Times New Roman"/>
          <w:kern w:val="0"/>
          <w:sz w:val="24"/>
          <w:szCs w:val="24"/>
          <w14:ligatures w14:val="none"/>
        </w:rPr>
        <w:t xml:space="preserve"> Kurum içi memnuniyet, iletişim ve iş birliğinin geliştirilmesi  </w:t>
      </w:r>
    </w:p>
    <w:p w14:paraId="0D675CF1"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1.1.:</w:t>
      </w:r>
      <w:r w:rsidRPr="0093062E">
        <w:rPr>
          <w:rFonts w:ascii="Times New Roman" w:hAnsi="Times New Roman"/>
          <w:kern w:val="0"/>
          <w:sz w:val="24"/>
          <w:szCs w:val="24"/>
          <w14:ligatures w14:val="none"/>
        </w:rPr>
        <w:t xml:space="preserve"> Anabilim dalı öğretim elemanları ile yüksek lisans öğrencilerinin iletişimini ve aidiyet duygusunu güçlendirmek </w:t>
      </w:r>
    </w:p>
    <w:p w14:paraId="51653A41" w14:textId="77777777" w:rsidR="000C0D45" w:rsidRPr="0093062E" w:rsidRDefault="000C0D45" w:rsidP="000C0D45">
      <w:pPr>
        <w:spacing w:after="0" w:line="240" w:lineRule="auto"/>
        <w:jc w:val="both"/>
        <w:rPr>
          <w:rFonts w:ascii="Times New Roman" w:hAnsi="Times New Roman"/>
          <w:kern w:val="0"/>
          <w:sz w:val="24"/>
          <w:szCs w:val="24"/>
          <w14:ligatures w14:val="none"/>
        </w:rPr>
      </w:pPr>
      <w:r w:rsidRPr="0093062E">
        <w:rPr>
          <w:rFonts w:ascii="Times New Roman" w:hAnsi="Times New Roman"/>
          <w:b/>
          <w:bCs/>
          <w:kern w:val="0"/>
          <w:sz w:val="24"/>
          <w:szCs w:val="24"/>
          <w14:ligatures w14:val="none"/>
        </w:rPr>
        <w:t>Strateji 1.2.:</w:t>
      </w:r>
      <w:r w:rsidRPr="0093062E">
        <w:rPr>
          <w:rFonts w:ascii="Times New Roman" w:hAnsi="Times New Roman"/>
          <w:kern w:val="0"/>
          <w:sz w:val="24"/>
          <w:szCs w:val="24"/>
          <w14:ligatures w14:val="none"/>
        </w:rPr>
        <w:t xml:space="preserve"> Anabilim dalı içinde çeşitli etkinlikler düzenlemek</w:t>
      </w: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2"/>
        <w:gridCol w:w="446"/>
        <w:gridCol w:w="641"/>
        <w:gridCol w:w="641"/>
        <w:gridCol w:w="744"/>
        <w:gridCol w:w="643"/>
        <w:gridCol w:w="686"/>
        <w:gridCol w:w="711"/>
        <w:gridCol w:w="708"/>
        <w:gridCol w:w="708"/>
        <w:gridCol w:w="708"/>
      </w:tblGrid>
      <w:tr w:rsidR="000C0D45" w:rsidRPr="0093062E" w14:paraId="0E4F59D4" w14:textId="77777777" w:rsidTr="0008122D">
        <w:trPr>
          <w:trHeight w:val="273"/>
        </w:trPr>
        <w:tc>
          <w:tcPr>
            <w:tcW w:w="3412" w:type="dxa"/>
            <w:vMerge w:val="restart"/>
            <w:tcBorders>
              <w:bottom w:val="single" w:sz="6" w:space="0" w:color="000000"/>
            </w:tcBorders>
          </w:tcPr>
          <w:p w14:paraId="3378AC00" w14:textId="77777777" w:rsidR="000C0D45" w:rsidRPr="0093062E" w:rsidRDefault="000C0D45" w:rsidP="0008122D">
            <w:pPr>
              <w:widowControl w:val="0"/>
              <w:autoSpaceDE w:val="0"/>
              <w:autoSpaceDN w:val="0"/>
              <w:spacing w:before="140" w:after="0" w:line="240" w:lineRule="auto"/>
              <w:ind w:left="10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Performans</w:t>
            </w:r>
            <w:r w:rsidRPr="0093062E">
              <w:rPr>
                <w:rFonts w:asciiTheme="majorBidi" w:eastAsia="Times New Roman" w:hAnsiTheme="majorBidi" w:cstheme="majorBidi"/>
                <w:b/>
                <w:spacing w:val="-4"/>
                <w:kern w:val="0"/>
                <w:sz w:val="24"/>
                <w14:ligatures w14:val="none"/>
              </w:rPr>
              <w:t xml:space="preserve"> </w:t>
            </w:r>
            <w:r w:rsidRPr="0093062E">
              <w:rPr>
                <w:rFonts w:asciiTheme="majorBidi" w:eastAsia="Times New Roman" w:hAnsiTheme="majorBidi" w:cstheme="majorBidi"/>
                <w:b/>
                <w:kern w:val="0"/>
                <w:sz w:val="24"/>
                <w14:ligatures w14:val="none"/>
              </w:rPr>
              <w:t>Göstergeleri</w:t>
            </w:r>
          </w:p>
        </w:tc>
        <w:tc>
          <w:tcPr>
            <w:tcW w:w="1087" w:type="dxa"/>
            <w:gridSpan w:val="2"/>
          </w:tcPr>
          <w:p w14:paraId="376B546B" w14:textId="77777777" w:rsidR="000C0D45" w:rsidRPr="0093062E" w:rsidRDefault="000C0D45" w:rsidP="0008122D">
            <w:pPr>
              <w:widowControl w:val="0"/>
              <w:autoSpaceDE w:val="0"/>
              <w:autoSpaceDN w:val="0"/>
              <w:spacing w:after="0" w:line="253" w:lineRule="exact"/>
              <w:ind w:left="39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2024</w:t>
            </w:r>
          </w:p>
        </w:tc>
        <w:tc>
          <w:tcPr>
            <w:tcW w:w="1385" w:type="dxa"/>
            <w:gridSpan w:val="2"/>
          </w:tcPr>
          <w:p w14:paraId="2B924D3C" w14:textId="77777777" w:rsidR="000C0D45" w:rsidRPr="0093062E" w:rsidRDefault="000C0D45" w:rsidP="0008122D">
            <w:pPr>
              <w:widowControl w:val="0"/>
              <w:autoSpaceDE w:val="0"/>
              <w:autoSpaceDN w:val="0"/>
              <w:spacing w:after="0" w:line="253" w:lineRule="exact"/>
              <w:ind w:left="452"/>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2025</w:t>
            </w:r>
          </w:p>
        </w:tc>
        <w:tc>
          <w:tcPr>
            <w:tcW w:w="1329" w:type="dxa"/>
            <w:gridSpan w:val="2"/>
          </w:tcPr>
          <w:p w14:paraId="26A9D1C3" w14:textId="77777777" w:rsidR="000C0D45" w:rsidRPr="0093062E" w:rsidRDefault="000C0D45" w:rsidP="0008122D">
            <w:pPr>
              <w:widowControl w:val="0"/>
              <w:autoSpaceDE w:val="0"/>
              <w:autoSpaceDN w:val="0"/>
              <w:spacing w:after="0" w:line="253" w:lineRule="exact"/>
              <w:ind w:left="42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2026</w:t>
            </w:r>
          </w:p>
        </w:tc>
        <w:tc>
          <w:tcPr>
            <w:tcW w:w="1419" w:type="dxa"/>
            <w:gridSpan w:val="2"/>
          </w:tcPr>
          <w:p w14:paraId="5BE0ECF2" w14:textId="77777777" w:rsidR="000C0D45" w:rsidRPr="0093062E" w:rsidRDefault="000C0D45" w:rsidP="0008122D">
            <w:pPr>
              <w:widowControl w:val="0"/>
              <w:autoSpaceDE w:val="0"/>
              <w:autoSpaceDN w:val="0"/>
              <w:spacing w:after="0" w:line="253" w:lineRule="exact"/>
              <w:ind w:left="470"/>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2027</w:t>
            </w:r>
          </w:p>
        </w:tc>
        <w:tc>
          <w:tcPr>
            <w:tcW w:w="1416" w:type="dxa"/>
            <w:gridSpan w:val="2"/>
          </w:tcPr>
          <w:p w14:paraId="5EEEE836" w14:textId="77777777" w:rsidR="000C0D45" w:rsidRPr="0093062E" w:rsidRDefault="000C0D45" w:rsidP="0008122D">
            <w:pPr>
              <w:widowControl w:val="0"/>
              <w:autoSpaceDE w:val="0"/>
              <w:autoSpaceDN w:val="0"/>
              <w:spacing w:after="0" w:line="253" w:lineRule="exact"/>
              <w:ind w:left="46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2028</w:t>
            </w:r>
          </w:p>
        </w:tc>
      </w:tr>
      <w:tr w:rsidR="000C0D45" w:rsidRPr="0093062E" w14:paraId="17B70A0D" w14:textId="77777777" w:rsidTr="0008122D">
        <w:trPr>
          <w:trHeight w:val="270"/>
        </w:trPr>
        <w:tc>
          <w:tcPr>
            <w:tcW w:w="3412" w:type="dxa"/>
            <w:vMerge/>
            <w:tcBorders>
              <w:top w:val="nil"/>
              <w:bottom w:val="single" w:sz="6" w:space="0" w:color="000000"/>
            </w:tcBorders>
          </w:tcPr>
          <w:p w14:paraId="1535D74F"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
                <w:szCs w:val="2"/>
                <w14:ligatures w14:val="none"/>
              </w:rPr>
            </w:pPr>
          </w:p>
        </w:tc>
        <w:tc>
          <w:tcPr>
            <w:tcW w:w="446" w:type="dxa"/>
            <w:tcBorders>
              <w:bottom w:val="single" w:sz="6" w:space="0" w:color="000000"/>
            </w:tcBorders>
          </w:tcPr>
          <w:p w14:paraId="4D91BB81" w14:textId="77777777" w:rsidR="000C0D45" w:rsidRPr="0093062E" w:rsidRDefault="000C0D45" w:rsidP="0008122D">
            <w:pPr>
              <w:widowControl w:val="0"/>
              <w:autoSpaceDE w:val="0"/>
              <w:autoSpaceDN w:val="0"/>
              <w:spacing w:after="0" w:line="251" w:lineRule="exact"/>
              <w:ind w:left="222"/>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641" w:type="dxa"/>
            <w:tcBorders>
              <w:bottom w:val="single" w:sz="6" w:space="0" w:color="000000"/>
            </w:tcBorders>
          </w:tcPr>
          <w:p w14:paraId="6AD31A7A" w14:textId="77777777" w:rsidR="000C0D45" w:rsidRPr="0093062E" w:rsidRDefault="000C0D45" w:rsidP="0008122D">
            <w:pPr>
              <w:widowControl w:val="0"/>
              <w:autoSpaceDE w:val="0"/>
              <w:autoSpaceDN w:val="0"/>
              <w:spacing w:after="0" w:line="251" w:lineRule="exact"/>
              <w:ind w:left="4"/>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641" w:type="dxa"/>
            <w:tcBorders>
              <w:bottom w:val="single" w:sz="6" w:space="0" w:color="000000"/>
            </w:tcBorders>
          </w:tcPr>
          <w:p w14:paraId="3FABB9A0" w14:textId="77777777" w:rsidR="000C0D45" w:rsidRPr="0093062E" w:rsidRDefault="000C0D45" w:rsidP="0008122D">
            <w:pPr>
              <w:widowControl w:val="0"/>
              <w:autoSpaceDE w:val="0"/>
              <w:autoSpaceDN w:val="0"/>
              <w:spacing w:after="0" w:line="251" w:lineRule="exact"/>
              <w:ind w:left="224"/>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44" w:type="dxa"/>
            <w:tcBorders>
              <w:bottom w:val="single" w:sz="6" w:space="0" w:color="000000"/>
            </w:tcBorders>
          </w:tcPr>
          <w:p w14:paraId="39FCF9FB" w14:textId="77777777" w:rsidR="000C0D45" w:rsidRPr="0093062E" w:rsidRDefault="000C0D45" w:rsidP="0008122D">
            <w:pPr>
              <w:widowControl w:val="0"/>
              <w:autoSpaceDE w:val="0"/>
              <w:autoSpaceDN w:val="0"/>
              <w:spacing w:after="0" w:line="251" w:lineRule="exact"/>
              <w:ind w:left="6"/>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643" w:type="dxa"/>
            <w:tcBorders>
              <w:bottom w:val="single" w:sz="6" w:space="0" w:color="000000"/>
            </w:tcBorders>
          </w:tcPr>
          <w:p w14:paraId="390ED745"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686" w:type="dxa"/>
            <w:tcBorders>
              <w:bottom w:val="single" w:sz="6" w:space="0" w:color="000000"/>
            </w:tcBorders>
          </w:tcPr>
          <w:p w14:paraId="096537AE"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711" w:type="dxa"/>
            <w:tcBorders>
              <w:bottom w:val="single" w:sz="6" w:space="0" w:color="000000"/>
            </w:tcBorders>
          </w:tcPr>
          <w:p w14:paraId="0B15B7E0" w14:textId="77777777" w:rsidR="000C0D45" w:rsidRPr="0093062E" w:rsidRDefault="000C0D45" w:rsidP="0008122D">
            <w:pPr>
              <w:widowControl w:val="0"/>
              <w:autoSpaceDE w:val="0"/>
              <w:autoSpaceDN w:val="0"/>
              <w:spacing w:after="0" w:line="251" w:lineRule="exact"/>
              <w:ind w:left="7"/>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08" w:type="dxa"/>
            <w:tcBorders>
              <w:bottom w:val="single" w:sz="6" w:space="0" w:color="000000"/>
            </w:tcBorders>
          </w:tcPr>
          <w:p w14:paraId="5B3BBF8D"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c>
          <w:tcPr>
            <w:tcW w:w="708" w:type="dxa"/>
            <w:tcBorders>
              <w:bottom w:val="single" w:sz="6" w:space="0" w:color="000000"/>
            </w:tcBorders>
          </w:tcPr>
          <w:p w14:paraId="1E306063"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H</w:t>
            </w:r>
          </w:p>
        </w:tc>
        <w:tc>
          <w:tcPr>
            <w:tcW w:w="708" w:type="dxa"/>
            <w:tcBorders>
              <w:bottom w:val="single" w:sz="6" w:space="0" w:color="000000"/>
            </w:tcBorders>
          </w:tcPr>
          <w:p w14:paraId="40EE797A" w14:textId="77777777" w:rsidR="000C0D45" w:rsidRPr="0093062E" w:rsidRDefault="000C0D45" w:rsidP="0008122D">
            <w:pPr>
              <w:widowControl w:val="0"/>
              <w:autoSpaceDE w:val="0"/>
              <w:autoSpaceDN w:val="0"/>
              <w:spacing w:after="0" w:line="251" w:lineRule="exact"/>
              <w:ind w:left="5"/>
              <w:jc w:val="both"/>
              <w:rPr>
                <w:rFonts w:asciiTheme="majorBidi" w:eastAsia="Times New Roman" w:hAnsiTheme="majorBidi" w:cstheme="majorBidi"/>
                <w:b/>
                <w:kern w:val="0"/>
                <w:sz w:val="24"/>
                <w14:ligatures w14:val="none"/>
              </w:rPr>
            </w:pPr>
            <w:r w:rsidRPr="0093062E">
              <w:rPr>
                <w:rFonts w:asciiTheme="majorBidi" w:eastAsia="Times New Roman" w:hAnsiTheme="majorBidi" w:cstheme="majorBidi"/>
                <w:b/>
                <w:kern w:val="0"/>
                <w:sz w:val="24"/>
                <w14:ligatures w14:val="none"/>
              </w:rPr>
              <w:t>G</w:t>
            </w:r>
          </w:p>
        </w:tc>
      </w:tr>
      <w:tr w:rsidR="000C0D45" w:rsidRPr="0093062E" w14:paraId="599BDEC8" w14:textId="77777777" w:rsidTr="0008122D">
        <w:trPr>
          <w:trHeight w:val="549"/>
        </w:trPr>
        <w:tc>
          <w:tcPr>
            <w:tcW w:w="3412" w:type="dxa"/>
            <w:tcBorders>
              <w:top w:val="single" w:sz="6" w:space="0" w:color="000000"/>
            </w:tcBorders>
          </w:tcPr>
          <w:p w14:paraId="64094832" w14:textId="77777777" w:rsidR="000C0D45" w:rsidRPr="0093062E" w:rsidRDefault="000C0D45" w:rsidP="0008122D">
            <w:pPr>
              <w:widowControl w:val="0"/>
              <w:tabs>
                <w:tab w:val="left" w:pos="1273"/>
                <w:tab w:val="left" w:pos="2643"/>
              </w:tabs>
              <w:autoSpaceDE w:val="0"/>
              <w:autoSpaceDN w:val="0"/>
              <w:spacing w:after="0" w:line="276" w:lineRule="exact"/>
              <w:ind w:left="107" w:right="100"/>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Akademik personelin memnuniyetini ölçen anket sayısı</w:t>
            </w:r>
          </w:p>
        </w:tc>
        <w:tc>
          <w:tcPr>
            <w:tcW w:w="446" w:type="dxa"/>
            <w:tcBorders>
              <w:top w:val="single" w:sz="6" w:space="0" w:color="000000"/>
            </w:tcBorders>
            <w:vAlign w:val="center"/>
          </w:tcPr>
          <w:p w14:paraId="53239E33" w14:textId="77777777" w:rsidR="000C0D45" w:rsidRPr="0093062E" w:rsidRDefault="000C0D45" w:rsidP="0008122D">
            <w:pPr>
              <w:widowControl w:val="0"/>
              <w:autoSpaceDE w:val="0"/>
              <w:autoSpaceDN w:val="0"/>
              <w:spacing w:before="136" w:after="0" w:line="240" w:lineRule="auto"/>
              <w:ind w:left="25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41" w:type="dxa"/>
            <w:tcBorders>
              <w:top w:val="single" w:sz="6" w:space="0" w:color="000000"/>
            </w:tcBorders>
            <w:vAlign w:val="center"/>
          </w:tcPr>
          <w:p w14:paraId="1878E3EB"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41" w:type="dxa"/>
            <w:tcBorders>
              <w:top w:val="single" w:sz="6" w:space="0" w:color="000000"/>
            </w:tcBorders>
            <w:vAlign w:val="center"/>
          </w:tcPr>
          <w:p w14:paraId="70CC7C98" w14:textId="77777777" w:rsidR="000C0D45" w:rsidRPr="0093062E" w:rsidRDefault="000C0D45" w:rsidP="0008122D">
            <w:pPr>
              <w:widowControl w:val="0"/>
              <w:autoSpaceDE w:val="0"/>
              <w:autoSpaceDN w:val="0"/>
              <w:spacing w:before="136" w:after="0" w:line="240" w:lineRule="auto"/>
              <w:ind w:left="25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44" w:type="dxa"/>
            <w:tcBorders>
              <w:top w:val="single" w:sz="6" w:space="0" w:color="000000"/>
            </w:tcBorders>
            <w:vAlign w:val="center"/>
          </w:tcPr>
          <w:p w14:paraId="6FD4C555"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eastAsia="Times New Roman" w:hAnsiTheme="majorBidi" w:cstheme="majorBidi"/>
                <w:kern w:val="0"/>
                <w:sz w:val="24"/>
                <w14:ligatures w14:val="none"/>
              </w:rPr>
              <w:t>1</w:t>
            </w:r>
          </w:p>
        </w:tc>
        <w:tc>
          <w:tcPr>
            <w:tcW w:w="643" w:type="dxa"/>
            <w:tcBorders>
              <w:top w:val="single" w:sz="6" w:space="0" w:color="000000"/>
            </w:tcBorders>
            <w:vAlign w:val="center"/>
          </w:tcPr>
          <w:p w14:paraId="50A3404B" w14:textId="77777777" w:rsidR="000C0D45" w:rsidRPr="0093062E" w:rsidRDefault="000C0D45" w:rsidP="0008122D">
            <w:pPr>
              <w:widowControl w:val="0"/>
              <w:autoSpaceDE w:val="0"/>
              <w:autoSpaceDN w:val="0"/>
              <w:spacing w:before="136" w:after="0" w:line="240" w:lineRule="auto"/>
              <w:ind w:left="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86" w:type="dxa"/>
            <w:tcBorders>
              <w:top w:val="single" w:sz="6" w:space="0" w:color="000000"/>
            </w:tcBorders>
            <w:vAlign w:val="center"/>
          </w:tcPr>
          <w:p w14:paraId="21E6652C"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11" w:type="dxa"/>
            <w:tcBorders>
              <w:top w:val="single" w:sz="6" w:space="0" w:color="000000"/>
            </w:tcBorders>
            <w:vAlign w:val="center"/>
          </w:tcPr>
          <w:p w14:paraId="1EC4205A" w14:textId="77777777" w:rsidR="000C0D45" w:rsidRPr="0093062E" w:rsidRDefault="000C0D45" w:rsidP="0008122D">
            <w:pPr>
              <w:widowControl w:val="0"/>
              <w:autoSpaceDE w:val="0"/>
              <w:autoSpaceDN w:val="0"/>
              <w:spacing w:before="136" w:after="0" w:line="240" w:lineRule="auto"/>
              <w:ind w:left="8"/>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08" w:type="dxa"/>
            <w:tcBorders>
              <w:top w:val="single" w:sz="6" w:space="0" w:color="000000"/>
            </w:tcBorders>
            <w:vAlign w:val="center"/>
          </w:tcPr>
          <w:p w14:paraId="6519EE97"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08" w:type="dxa"/>
            <w:tcBorders>
              <w:top w:val="single" w:sz="6" w:space="0" w:color="000000"/>
            </w:tcBorders>
            <w:vAlign w:val="center"/>
          </w:tcPr>
          <w:p w14:paraId="2EE30527" w14:textId="77777777" w:rsidR="000C0D45" w:rsidRPr="0093062E" w:rsidRDefault="000C0D45" w:rsidP="0008122D">
            <w:pPr>
              <w:widowControl w:val="0"/>
              <w:autoSpaceDE w:val="0"/>
              <w:autoSpaceDN w:val="0"/>
              <w:spacing w:before="136" w:after="0" w:line="240" w:lineRule="auto"/>
              <w:ind w:left="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08" w:type="dxa"/>
            <w:tcBorders>
              <w:top w:val="single" w:sz="6" w:space="0" w:color="000000"/>
            </w:tcBorders>
            <w:vAlign w:val="center"/>
          </w:tcPr>
          <w:p w14:paraId="56496B07"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r>
      <w:tr w:rsidR="000C0D45" w:rsidRPr="0093062E" w14:paraId="0D1B1375" w14:textId="77777777" w:rsidTr="0008122D">
        <w:trPr>
          <w:trHeight w:val="824"/>
        </w:trPr>
        <w:tc>
          <w:tcPr>
            <w:tcW w:w="3412" w:type="dxa"/>
          </w:tcPr>
          <w:p w14:paraId="4BBE866E" w14:textId="77777777" w:rsidR="000C0D45" w:rsidRPr="0093062E" w:rsidRDefault="000C0D45" w:rsidP="0008122D">
            <w:pPr>
              <w:widowControl w:val="0"/>
              <w:autoSpaceDE w:val="0"/>
              <w:autoSpaceDN w:val="0"/>
              <w:spacing w:after="0" w:line="257" w:lineRule="exact"/>
              <w:ind w:left="10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Ders dışı etkinlik sayısı</w:t>
            </w:r>
          </w:p>
        </w:tc>
        <w:tc>
          <w:tcPr>
            <w:tcW w:w="446" w:type="dxa"/>
            <w:vAlign w:val="center"/>
          </w:tcPr>
          <w:p w14:paraId="673819C0" w14:textId="77777777" w:rsidR="000C0D45" w:rsidRPr="0093062E" w:rsidRDefault="000C0D45" w:rsidP="0008122D">
            <w:pPr>
              <w:widowControl w:val="0"/>
              <w:autoSpaceDE w:val="0"/>
              <w:autoSpaceDN w:val="0"/>
              <w:spacing w:before="1" w:after="0" w:line="240" w:lineRule="auto"/>
              <w:ind w:left="25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41" w:type="dxa"/>
            <w:vAlign w:val="center"/>
          </w:tcPr>
          <w:p w14:paraId="6E40DB40"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641" w:type="dxa"/>
            <w:vAlign w:val="center"/>
          </w:tcPr>
          <w:p w14:paraId="492813CC" w14:textId="77777777" w:rsidR="000C0D45" w:rsidRPr="0093062E" w:rsidRDefault="000C0D45" w:rsidP="0008122D">
            <w:pPr>
              <w:widowControl w:val="0"/>
              <w:autoSpaceDE w:val="0"/>
              <w:autoSpaceDN w:val="0"/>
              <w:spacing w:before="1" w:after="0" w:line="240" w:lineRule="auto"/>
              <w:ind w:left="25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744" w:type="dxa"/>
            <w:vAlign w:val="center"/>
          </w:tcPr>
          <w:p w14:paraId="218C422B"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r w:rsidRPr="0093062E">
              <w:rPr>
                <w:rFonts w:asciiTheme="majorBidi" w:eastAsia="Times New Roman" w:hAnsiTheme="majorBidi" w:cstheme="majorBidi"/>
                <w:kern w:val="0"/>
                <w:sz w:val="24"/>
                <w14:ligatures w14:val="none"/>
              </w:rPr>
              <w:t>1</w:t>
            </w:r>
          </w:p>
        </w:tc>
        <w:tc>
          <w:tcPr>
            <w:tcW w:w="643" w:type="dxa"/>
            <w:vAlign w:val="center"/>
          </w:tcPr>
          <w:p w14:paraId="1CD322EC" w14:textId="77777777" w:rsidR="000C0D45" w:rsidRPr="0093062E" w:rsidRDefault="000C0D45" w:rsidP="0008122D">
            <w:pPr>
              <w:widowControl w:val="0"/>
              <w:autoSpaceDE w:val="0"/>
              <w:autoSpaceDN w:val="0"/>
              <w:spacing w:before="1" w:after="0" w:line="240" w:lineRule="auto"/>
              <w:ind w:left="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1</w:t>
            </w:r>
          </w:p>
        </w:tc>
        <w:tc>
          <w:tcPr>
            <w:tcW w:w="686" w:type="dxa"/>
            <w:vAlign w:val="center"/>
          </w:tcPr>
          <w:p w14:paraId="6AEF6D28"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11" w:type="dxa"/>
            <w:vAlign w:val="center"/>
          </w:tcPr>
          <w:p w14:paraId="7E3B84EC" w14:textId="77777777" w:rsidR="000C0D45" w:rsidRPr="0093062E" w:rsidRDefault="000C0D45" w:rsidP="0008122D">
            <w:pPr>
              <w:widowControl w:val="0"/>
              <w:autoSpaceDE w:val="0"/>
              <w:autoSpaceDN w:val="0"/>
              <w:spacing w:before="1" w:after="0" w:line="240" w:lineRule="auto"/>
              <w:ind w:left="8"/>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vAlign w:val="center"/>
          </w:tcPr>
          <w:p w14:paraId="4C67596E"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c>
          <w:tcPr>
            <w:tcW w:w="708" w:type="dxa"/>
            <w:vAlign w:val="center"/>
          </w:tcPr>
          <w:p w14:paraId="33DEA901" w14:textId="77777777" w:rsidR="000C0D45" w:rsidRPr="0093062E" w:rsidRDefault="000C0D45" w:rsidP="0008122D">
            <w:pPr>
              <w:widowControl w:val="0"/>
              <w:autoSpaceDE w:val="0"/>
              <w:autoSpaceDN w:val="0"/>
              <w:spacing w:before="1" w:after="0" w:line="240" w:lineRule="auto"/>
              <w:ind w:left="6"/>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2</w:t>
            </w:r>
          </w:p>
        </w:tc>
        <w:tc>
          <w:tcPr>
            <w:tcW w:w="708" w:type="dxa"/>
            <w:vAlign w:val="center"/>
          </w:tcPr>
          <w:p w14:paraId="00064F41" w14:textId="77777777" w:rsidR="000C0D45" w:rsidRPr="0093062E" w:rsidRDefault="000C0D45" w:rsidP="0008122D">
            <w:pPr>
              <w:widowControl w:val="0"/>
              <w:autoSpaceDE w:val="0"/>
              <w:autoSpaceDN w:val="0"/>
              <w:spacing w:after="0" w:line="240" w:lineRule="auto"/>
              <w:jc w:val="both"/>
              <w:rPr>
                <w:rFonts w:asciiTheme="majorBidi" w:eastAsia="Times New Roman" w:hAnsiTheme="majorBidi" w:cstheme="majorBidi"/>
                <w:kern w:val="0"/>
                <w:sz w:val="24"/>
                <w14:ligatures w14:val="none"/>
              </w:rPr>
            </w:pPr>
          </w:p>
        </w:tc>
      </w:tr>
      <w:tr w:rsidR="000C0D45" w:rsidRPr="0093062E" w14:paraId="06F14E28" w14:textId="77777777" w:rsidTr="0008122D">
        <w:trPr>
          <w:trHeight w:val="316"/>
        </w:trPr>
        <w:tc>
          <w:tcPr>
            <w:tcW w:w="3412" w:type="dxa"/>
            <w:vAlign w:val="center"/>
          </w:tcPr>
          <w:p w14:paraId="62C634BD" w14:textId="77777777" w:rsidR="000C0D45" w:rsidRPr="0093062E" w:rsidRDefault="000C0D45" w:rsidP="0008122D">
            <w:pPr>
              <w:widowControl w:val="0"/>
              <w:autoSpaceDE w:val="0"/>
              <w:autoSpaceDN w:val="0"/>
              <w:spacing w:after="0" w:line="275" w:lineRule="exact"/>
              <w:ind w:left="107"/>
              <w:jc w:val="both"/>
              <w:rPr>
                <w:rFonts w:asciiTheme="majorBidi" w:eastAsia="Times New Roman" w:hAnsiTheme="majorBidi" w:cstheme="majorBidi"/>
                <w:kern w:val="0"/>
                <w:sz w:val="24"/>
                <w14:ligatures w14:val="none"/>
              </w:rPr>
            </w:pPr>
            <w:r w:rsidRPr="0093062E">
              <w:rPr>
                <w:rFonts w:asciiTheme="majorBidi" w:hAnsiTheme="majorBidi" w:cstheme="majorBidi"/>
                <w:sz w:val="24"/>
                <w:szCs w:val="24"/>
              </w:rPr>
              <w:t>Değerlendirme</w:t>
            </w:r>
          </w:p>
        </w:tc>
        <w:tc>
          <w:tcPr>
            <w:tcW w:w="6636" w:type="dxa"/>
            <w:gridSpan w:val="10"/>
          </w:tcPr>
          <w:p w14:paraId="68E217DC"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Stratejik Hedef 1</w:t>
            </w:r>
          </w:p>
          <w:p w14:paraId="44BA3B72"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Kurum içi memnuniyet, iletişim ve iş birliğinin geliştirilmesi</w:t>
            </w:r>
          </w:p>
          <w:p w14:paraId="37876D2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stratejik hedef kapsamında, Maliye Bölümü öğretim üyeleri ile yüksek lisans öğrencileri arasındaki iletişimin güçlendirilmesi, akademik iş birliğinin artırılması ve kurumsal aidiyetin pekiştirilmesi amaçlanmaktadır. Bu doğrultuda, öğretim üyelerinin programlara ilişkin memnuniyet düzeylerini ölçmek amacıyla her yıl düzenli olarak tüm programlar için ayrı ayrı memnuniyet anketleri uygulanmaktadır.</w:t>
            </w:r>
          </w:p>
          <w:p w14:paraId="6173BB8C"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Yüksek Lisans Programı özelinde, programda görev yapan 13 öğretim üyesine yönelik olarak gerçekleştirilen memnuniyet anketi sonuçlarına göre, her bir ifadeye verilen yanıtların toplamı ve ortalaması esas alınarak yapılan değerlendirmeler sonucunda programın genel memnuniyet düzeyi 5 üzerinden yaklaşık 3,30 olarak hesaplanmıştır. Bu bulgu, öğretim üyelerinin programı genel olarak orta-üst düzeyde olumlu değerlendirdiğini göstermektedir.</w:t>
            </w:r>
          </w:p>
          <w:p w14:paraId="2FEEDB27"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Anket sonuçları incelendiğinde, “Yüksek lisans öğrencilerinin bilimsel etkinliklere katılımının teşvik edilmesi” ifadesi 44 toplam puan ve 3,38 ortalama ile; “Yüksek lisans öğrencilerinin bilimsel çalışma yapması için motive edilmesi” ifadesi ise 45 toplam puan ve 3,46 ortalama ile öne çıkan güçlü alanlar arasında yer almaktadır. Bu durum, öğretim üyeleri tarafından öğrencilerin akademik üretime yönlendirilmesine yönelik farkındalığın ve teşvik edici yaklaşımın benimsendiğini ortaya koymaktadır.</w:t>
            </w:r>
          </w:p>
          <w:p w14:paraId="795A3338"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Öte yandan, bölüm içerisinde yüksek lisans öğrencilerinin de katıldığı etkinliklerin yeterliliğine ilişkin değerlendirme 38 toplam puan ve 2,92 ortalama ile görece daha düşük düzeyde gerçekleşmiştir. Bu bulgu, öğrenci–öğretim üyesi etkileşimini artırmaya yönelik etkinliklerin geliştirilmesi gereken bir alan olduğunu göstermektedir. Anket geri bildirimleri doğrultusunda, bu alana yönelik iyileştirici adımlar atılmaya başlanmıştır.</w:t>
            </w:r>
          </w:p>
          <w:p w14:paraId="146BD333"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kapsamda, 22.12.2025 tarihinde “Mezunlarla Söyleşi 2” etkinliği düzenlenmiş; etkinliğe 2023 yılında lisans programından mezun olan ve hâlen bölümde yüksek lisans eğitimine devam eden bir öğrenci konuşmacı olarak katılmıştır. Etkinliğe hem lisans hem de yüksek lisans öğrencileri katılım sağlamıştır. Konuşmacı olarak tercih edilen öğrencinin lisans eğitimi sürecinde TÜBİTAK 2209-A Öğrenci Araştırma Projesi yürütmüş olması ve yüksek lisans eğitimi sırasında SSCI kapsamındaki bir dergide yayın yapmış olması, etkinliğin akademik motivasyon boyutunu güçlendirmiştir.</w:t>
            </w:r>
          </w:p>
          <w:p w14:paraId="0791F5B7"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tür etkinlikler, hem mezun–öğrenci etkileşimini artırması hem de mevcut öğrencilere somut akademik başarı örnekleri sunması açısından önem taşımakta; aynı zamanda sürekli iyileştirme yaklaşımı çerçevesinde anket geri bildirimlerinin uygulamaya dönüştürüldüğünü göstermektedir. Bu doğrultuda, öğrenci katılımının ve bölüm içi akademik etkileşimin önümüzdeki dönemde daha da güçlenmesi beklenmektedir.</w:t>
            </w:r>
          </w:p>
          <w:p w14:paraId="058C2B13"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Stratejik Hedef 2</w:t>
            </w:r>
          </w:p>
          <w:p w14:paraId="6D5D3737"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asciiTheme="majorBidi" w:hAnsiTheme="majorBidi" w:cstheme="majorBidi"/>
                <w:b/>
                <w:bCs/>
                <w:szCs w:val="22"/>
                <w:lang w:eastAsia="en-US"/>
              </w:rPr>
              <w:t>Öğrenci niteliğinin, akademik üretkenliğin ve mezun ilişkilerinin güçlendirilmesi</w:t>
            </w:r>
          </w:p>
          <w:p w14:paraId="2C1C257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stratejik hedef kapsamında, Maliye Yüksek Lisans Programı’na kayıtlı öğrencilerin akademik niteliği, bilimsel üretim kapasiteleri ve mezunlarla sürdürülebilir ilişkilerin geliştirilmesi değerlendirilmektedir. Öğretim üyelerinin görüşlerine göre, programa kayıtlı öğrencilerin genel kalitesi 44 toplam puan ve 3,38 ortalama ile olumlu bir düzeyde değerlendirilmiştir. Bu bulgu, öğrencilerin akademik yeterlilikleri, araştırma potansiyelleri ve lisansüstü eğitime uyumları açısından güçlü bir profile sahip olduklarını göstermektedir.</w:t>
            </w:r>
          </w:p>
          <w:p w14:paraId="4ED693C2"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Bölümde düzenlenen etkinliklerin öğrencilerin kişisel ve mesleki gelişimine katkısına ilişkin değerlendirme 41 toplam puan ve 3,15 ortalama düzeyinde gerçekleşmiş; bu durum etkinliklerin yalnızca akademik değil, mesleki farkındalık açısından da katkı sunduğuna işaret etmiştir. Buna karşılık, öğrencilerin kongre, sempozyum ve benzeri bilimsel etkinliklere katılımına yönelik sunulan fırsatlar ile öğrencilerin bölüme aidiyetini artırmaya yönelik etkinliklerin sıklığı 2,86 ortalama ile gelişime açık alanlar olarak öne çıkmıştır.</w:t>
            </w:r>
          </w:p>
          <w:p w14:paraId="18EF5C89"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 xml:space="preserve">Ancak bu görece düşük değerlendirmelere rağmen, öğrencilerin bilimsel üretkenliğinin yüksek olduğu somut akademik çıktılarla ortaya konulmaktadır. Nitekim 2025 yılı içerisinde, bir yüksek lisans öğrencisinin danışmanı </w:t>
            </w:r>
            <w:proofErr w:type="gramStart"/>
            <w:r w:rsidRPr="0093062E">
              <w:rPr>
                <w:rFonts w:asciiTheme="majorBidi" w:hAnsiTheme="majorBidi" w:cstheme="majorBidi"/>
                <w:szCs w:val="22"/>
                <w:lang w:eastAsia="en-US"/>
              </w:rPr>
              <w:t>ile birlikte</w:t>
            </w:r>
            <w:proofErr w:type="gramEnd"/>
            <w:r w:rsidRPr="0093062E">
              <w:rPr>
                <w:rFonts w:asciiTheme="majorBidi" w:hAnsiTheme="majorBidi" w:cstheme="majorBidi"/>
                <w:szCs w:val="22"/>
                <w:lang w:eastAsia="en-US"/>
              </w:rPr>
              <w:t xml:space="preserve"> SSCI kapsamındaki bir dergide yayın yapmış olması, iki yüksek lisans öğrencisinin TR </w:t>
            </w:r>
            <w:proofErr w:type="spellStart"/>
            <w:r w:rsidRPr="0093062E">
              <w:rPr>
                <w:rFonts w:asciiTheme="majorBidi" w:hAnsiTheme="majorBidi" w:cstheme="majorBidi"/>
                <w:szCs w:val="22"/>
                <w:lang w:eastAsia="en-US"/>
              </w:rPr>
              <w:t>Dizin’de</w:t>
            </w:r>
            <w:proofErr w:type="spellEnd"/>
            <w:r w:rsidRPr="0093062E">
              <w:rPr>
                <w:rFonts w:asciiTheme="majorBidi" w:hAnsiTheme="majorBidi" w:cstheme="majorBidi"/>
                <w:szCs w:val="22"/>
                <w:lang w:eastAsia="en-US"/>
              </w:rPr>
              <w:t xml:space="preserve"> taranan hakemli dergilerde makaleler yayımlaması ve bir yüksek lisans öğrencisinin danışmanı ile TÜBİTAK 1002 projesi yürütmesi, programın araştırma odaklı yapısının etkin biçimde işlediğini göstermektedir.</w:t>
            </w:r>
          </w:p>
          <w:p w14:paraId="31BDAC31"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Mezunlara yönelik değerlendirmeler ise görece daha yüksek memnuniyet düzeylerine işaret etmektedir. “Maliye yüksek lisans programından mezun olan kariyer sahibi kişilerin öğrencilerle bir araya getirilmesi” ifadesi 3,15 ortalama ile olumlu değerlendirilirken, mezunların mesleki başarılarının öğrenciler için motivasyon kaynağı olabileceğine ilişkin görüşler 3,69 ortalama ile yüksek bir memnuniyet düzeyi göstermektedir. “Mezunlar gününün her yıl düzenli olarak yapılmasının kurum kültürüne katkı sağlayacağı” ifadesi ise 3,84 ortalama ile tablodaki en yüksek değerlerden biri olmuştur.</w:t>
            </w:r>
          </w:p>
          <w:p w14:paraId="5483A50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Bu kapsamda, 23.12.2025 tarihinde yüksek lisans öğrencilerinin de katılımıyla “Mezunlarla Kariyer Söyleşisi 2” etkinliği gerçekleştirilmiştir. Söz konusu etkinlik, mezun–öğrenci bağlarının güçlendirilmesi ve öğrencilerin kariyer farkındalıklarının artırılması açısından önemli bir uygulama olarak değerlendirilmiştir.</w:t>
            </w:r>
          </w:p>
          <w:p w14:paraId="595EAD1F"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Sonuç olarak, anket verileri ile 2025 yılına ait SSCI ve TR Dizin yayınları ile TÜBİTAK projeleri birlikte değerlendirildiğinde, Maliye Bölümü yüksek lisans programının nitelikli öğrenci profiline sahip olduğu, bilimsel üretime somut katkı sunduğu ve mezun ilişkilerini güçlendirme yönünde önemli bir potansiyel barındırdığı söylenebilir. Öğrenci etkinlikleri ve akademik etkileşimin artırılmasına yönelik atılacak ilave adımların, programın akademik ve kurumsal niteliğini daha da yükselteceği değerlendirilmektedir.</w:t>
            </w:r>
          </w:p>
          <w:p w14:paraId="20246537"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p>
          <w:p w14:paraId="2F4BB87D" w14:textId="77777777" w:rsidR="000C0D45" w:rsidRPr="0093062E" w:rsidRDefault="000C0D45" w:rsidP="0008122D">
            <w:pPr>
              <w:spacing w:line="275" w:lineRule="exact"/>
              <w:ind w:left="107"/>
              <w:jc w:val="both"/>
              <w:rPr>
                <w:rFonts w:asciiTheme="majorBidi" w:eastAsia="Times New Roman" w:hAnsiTheme="majorBidi" w:cstheme="majorBidi"/>
                <w:kern w:val="0"/>
                <w:sz w:val="24"/>
                <w14:ligatures w14:val="none"/>
              </w:rPr>
            </w:pPr>
          </w:p>
        </w:tc>
      </w:tr>
      <w:tr w:rsidR="000C0D45" w:rsidRPr="0093062E" w14:paraId="05A5EB81" w14:textId="77777777" w:rsidTr="0008122D">
        <w:trPr>
          <w:trHeight w:val="316"/>
        </w:trPr>
        <w:tc>
          <w:tcPr>
            <w:tcW w:w="10048" w:type="dxa"/>
            <w:gridSpan w:val="11"/>
            <w:vAlign w:val="center"/>
          </w:tcPr>
          <w:p w14:paraId="72501797"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r w:rsidRPr="0093062E">
              <w:rPr>
                <w:rFonts w:cs="Arial"/>
                <w:b/>
              </w:rPr>
              <w:t>H: Hedeflenen; G: Gerçekleşme</w:t>
            </w:r>
          </w:p>
        </w:tc>
      </w:tr>
      <w:tr w:rsidR="000C0D45" w:rsidRPr="0093062E" w14:paraId="2FAAEC1D" w14:textId="77777777" w:rsidTr="0008122D">
        <w:trPr>
          <w:trHeight w:val="316"/>
        </w:trPr>
        <w:tc>
          <w:tcPr>
            <w:tcW w:w="10048" w:type="dxa"/>
            <w:gridSpan w:val="11"/>
            <w:vAlign w:val="center"/>
          </w:tcPr>
          <w:p w14:paraId="494859DA"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Genel Değerlendirme</w:t>
            </w:r>
          </w:p>
          <w:p w14:paraId="77ABDD8E"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2025 yılı itibarıyla, “Kurumun Tanınırlığını Geliştirmek ve Kurumsallaşmayı Kuvvetlendirmek” stratejik amacı kapsamında belirlenen hedef ve stratejilere ilişkin performans göstergelerinde genel olarak hedeflere ulaşıldığı, bazı alanlarda ise hedeflerin aşıldığı görülmektedir. Bu durum, Maliye Anabilim Dalı Tezli Yüksek Lisans Programı’nda kurumsal aidiyetin güçlendirilmesi, paydaşlar arası iletişimin artırılması ve sürdürülebilir bir bölüm kültürünün oluşturulmasına yönelik çalışmaların etkin biçimde yürütüldüğünü göstermektedir.</w:t>
            </w:r>
          </w:p>
          <w:p w14:paraId="175F76DE"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Kurum içi memnuniyet, iletişim ve iş birliğinin geliştirilmesine yönelik stratejik hedef kapsamında, öğretim üyelerine düzenli olarak uygulanan memnuniyet anketleri aracılığıyla programın güçlü ve gelişime açık yönleri sistematik biçimde izlenmiştir. Öğretim üyelerinin programı genel olarak orta-üst düzeyde olumlu değerlendirmeleri; özellikle öğrencilerin bilimsel çalışmalara yönlendirilmesi, araştırma yapmaya teşvik edilmesi ve akademik üretim süreçlerine dâhil edilmesi konularında güçlü bir kurumsal farkındalığın bulunduğunu ortaya koymaktadır. Buna karşılık, öğrenci katılımlı etkinliklerin yeterliliği ve akademik etkileşimin artırılması gerekliliği, gelişime açık alanlar olarak tespit edilmiştir. Bu geri bildirimler doğrultusunda gerçekleştirilen mezunlarla söyleşi ve kariyer etkinlikleri, sürekli iyileştirme anlayışının somut bir yansıması olarak değerlendirilmektedir.</w:t>
            </w:r>
          </w:p>
          <w:p w14:paraId="445FD3E0"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Öğrenci niteliğinin ve akademik üretkenliğin artırılması ile mezun ilişkilerinin güçlendirilmesi başlığı altında yapılan değerlendirmeler ise programın araştırma odaklı yapısını ve akademik çıktı üretme kapasitesini açık biçimde ortaya koymaktadır. Öğretim üyeleri tarafından öğrencilerin genel kalitesinin olumlu değerlendirilmesi, programın nitelikli bir öğrenci profiline sahip olduğunu göstermektedir. Buna ek olarak, 2025 yılı içerisinde yüksek lisans öğrencileri tarafından üretilen SSCI ve TR Dizin yayınlar ile TÜBİTAK destekli projeler, öğrencilerin bilimsel üretkenliğinin yalnızca algısal düzeyde değil, ölçülebilir akademik çıktılarla da desteklendiğini ortaya koymaktadır.</w:t>
            </w:r>
          </w:p>
          <w:p w14:paraId="2B501F2E"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Mezunlara yönelik değerlendirmelerde elde edilen yüksek memnuniyet düzeyleri, bölüm kültürünün sürekliliği ve kurumsal aidiyet açısından önemli bir kazanım olarak öne çıkmaktadır. Mezun buluşmaları, mezun anketleri ve mezunların öğrencilerle bir araya getirildiği kariyer söyleşileri; mezun–öğrenci–bölüm bağlarını güçlendiren, bölümün tanınırlığını ve kurumsal hafızasını destekleyen etkili uygulamalar olarak değerlendirilmektedir. Mezunların büyük çoğunluğunun aldıkları eğitimi kaliteli bulmaları ve yeniden tercih edebileceklerini ifade etmeleri, programın akademik niteliğine yönelik güçlü bir geri bildirim sunmaktadır.</w:t>
            </w:r>
          </w:p>
          <w:p w14:paraId="3BC8E348"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r w:rsidRPr="0093062E">
              <w:rPr>
                <w:rFonts w:asciiTheme="majorBidi" w:hAnsiTheme="majorBidi" w:cstheme="majorBidi"/>
                <w:szCs w:val="22"/>
                <w:lang w:eastAsia="en-US"/>
              </w:rPr>
              <w:t>Sonuç olarak, 2025 yılı itibarıyla Maliye Anabilim Dalı Tezli Yüksek Lisans Programı’nın;</w:t>
            </w:r>
          </w:p>
          <w:p w14:paraId="24C40425" w14:textId="77777777" w:rsidR="000C0D45" w:rsidRPr="0093062E" w:rsidRDefault="000C0D45" w:rsidP="000C0D45">
            <w:pPr>
              <w:pStyle w:val="NormalWeb"/>
              <w:numPr>
                <w:ilvl w:val="0"/>
                <w:numId w:val="2"/>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kurumsal</w:t>
            </w:r>
            <w:proofErr w:type="gramEnd"/>
            <w:r w:rsidRPr="0093062E">
              <w:rPr>
                <w:rFonts w:asciiTheme="majorBidi" w:hAnsiTheme="majorBidi" w:cstheme="majorBidi"/>
                <w:szCs w:val="22"/>
                <w:lang w:eastAsia="en-US"/>
              </w:rPr>
              <w:t xml:space="preserve"> aidiyet ve iletişimi güçlendirme,</w:t>
            </w:r>
          </w:p>
          <w:p w14:paraId="0EDFC1C2" w14:textId="77777777" w:rsidR="000C0D45" w:rsidRPr="0093062E" w:rsidRDefault="000C0D45" w:rsidP="000C0D45">
            <w:pPr>
              <w:pStyle w:val="NormalWeb"/>
              <w:numPr>
                <w:ilvl w:val="0"/>
                <w:numId w:val="2"/>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nitelikli</w:t>
            </w:r>
            <w:proofErr w:type="gramEnd"/>
            <w:r w:rsidRPr="0093062E">
              <w:rPr>
                <w:rFonts w:asciiTheme="majorBidi" w:hAnsiTheme="majorBidi" w:cstheme="majorBidi"/>
                <w:szCs w:val="22"/>
                <w:lang w:eastAsia="en-US"/>
              </w:rPr>
              <w:t xml:space="preserve"> öğrenci profili oluşturma,</w:t>
            </w:r>
          </w:p>
          <w:p w14:paraId="3918D970" w14:textId="77777777" w:rsidR="000C0D45" w:rsidRPr="0093062E" w:rsidRDefault="000C0D45" w:rsidP="000C0D45">
            <w:pPr>
              <w:pStyle w:val="NormalWeb"/>
              <w:numPr>
                <w:ilvl w:val="0"/>
                <w:numId w:val="2"/>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bilimsel</w:t>
            </w:r>
            <w:proofErr w:type="gramEnd"/>
            <w:r w:rsidRPr="0093062E">
              <w:rPr>
                <w:rFonts w:asciiTheme="majorBidi" w:hAnsiTheme="majorBidi" w:cstheme="majorBidi"/>
                <w:szCs w:val="22"/>
                <w:lang w:eastAsia="en-US"/>
              </w:rPr>
              <w:t xml:space="preserve"> üretimi teşvik etme,</w:t>
            </w:r>
          </w:p>
          <w:p w14:paraId="095A6CBE" w14:textId="77777777" w:rsidR="000C0D45" w:rsidRPr="0093062E" w:rsidRDefault="000C0D45" w:rsidP="000C0D45">
            <w:pPr>
              <w:pStyle w:val="NormalWeb"/>
              <w:numPr>
                <w:ilvl w:val="0"/>
                <w:numId w:val="2"/>
              </w:numPr>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mezun</w:t>
            </w:r>
            <w:proofErr w:type="gramEnd"/>
            <w:r w:rsidRPr="0093062E">
              <w:rPr>
                <w:rFonts w:asciiTheme="majorBidi" w:hAnsiTheme="majorBidi" w:cstheme="majorBidi"/>
                <w:szCs w:val="22"/>
                <w:lang w:eastAsia="en-US"/>
              </w:rPr>
              <w:t xml:space="preserve"> ilişkilerini sürdürülebilir bir yapıya kavuşturma</w:t>
            </w:r>
          </w:p>
          <w:p w14:paraId="6D0A5A56" w14:textId="77777777" w:rsidR="000C0D45" w:rsidRPr="0093062E" w:rsidRDefault="000C0D45" w:rsidP="0008122D">
            <w:pPr>
              <w:pStyle w:val="NormalWeb"/>
              <w:spacing w:before="0" w:beforeAutospacing="0" w:after="0" w:afterAutospacing="0"/>
              <w:jc w:val="both"/>
              <w:rPr>
                <w:rFonts w:asciiTheme="majorBidi" w:hAnsiTheme="majorBidi" w:cstheme="majorBidi"/>
                <w:szCs w:val="22"/>
                <w:lang w:eastAsia="en-US"/>
              </w:rPr>
            </w:pPr>
            <w:proofErr w:type="gramStart"/>
            <w:r w:rsidRPr="0093062E">
              <w:rPr>
                <w:rFonts w:asciiTheme="majorBidi" w:hAnsiTheme="majorBidi" w:cstheme="majorBidi"/>
                <w:szCs w:val="22"/>
                <w:lang w:eastAsia="en-US"/>
              </w:rPr>
              <w:t>alanlarında</w:t>
            </w:r>
            <w:proofErr w:type="gramEnd"/>
            <w:r w:rsidRPr="0093062E">
              <w:rPr>
                <w:rFonts w:asciiTheme="majorBidi" w:hAnsiTheme="majorBidi" w:cstheme="majorBidi"/>
                <w:szCs w:val="22"/>
                <w:lang w:eastAsia="en-US"/>
              </w:rPr>
              <w:t xml:space="preserve"> önemli ilerlemeler kaydettiği görülmektedir. Öğrenci katılımlı akademik ve sosyal etkinliklerin artırılması ve bilimsel etkinliklere katılım olanaklarının çeşitlendirilmesiyle birlikte, programın kurumsal ve akademik katkısının önümüzdeki dönemde daha da güçleneceği değerlendirilmektedir.</w:t>
            </w:r>
          </w:p>
          <w:p w14:paraId="4138809D" w14:textId="77777777" w:rsidR="000C0D45" w:rsidRPr="0093062E" w:rsidRDefault="000C0D45" w:rsidP="0008122D">
            <w:pPr>
              <w:pStyle w:val="NormalWeb"/>
              <w:spacing w:before="0" w:beforeAutospacing="0" w:after="0" w:afterAutospacing="0"/>
              <w:jc w:val="both"/>
              <w:rPr>
                <w:rFonts w:asciiTheme="majorBidi" w:hAnsiTheme="majorBidi" w:cstheme="majorBidi"/>
                <w:b/>
                <w:bCs/>
                <w:szCs w:val="22"/>
                <w:lang w:eastAsia="en-US"/>
              </w:rPr>
            </w:pPr>
          </w:p>
        </w:tc>
      </w:tr>
    </w:tbl>
    <w:p w14:paraId="4B30EFA6" w14:textId="77777777" w:rsidR="000C0D45" w:rsidRPr="0093062E" w:rsidRDefault="000C0D45" w:rsidP="000C0D45">
      <w:pPr>
        <w:spacing w:after="0" w:line="255" w:lineRule="exact"/>
        <w:ind w:left="112"/>
        <w:jc w:val="both"/>
        <w:rPr>
          <w:rFonts w:ascii="Times New Roman" w:eastAsia="Times New Roman" w:hAnsi="Times New Roman" w:cs="Times New Roman"/>
          <w:b/>
          <w:kern w:val="0"/>
          <w:sz w:val="24"/>
          <w14:ligatures w14:val="none"/>
        </w:rPr>
      </w:pPr>
      <w:r w:rsidRPr="0093062E">
        <w:rPr>
          <w:rFonts w:ascii="Times New Roman" w:eastAsia="Times New Roman" w:hAnsi="Times New Roman" w:cs="Arial"/>
          <w:b/>
          <w:kern w:val="0"/>
          <w:sz w:val="24"/>
          <w14:ligatures w14:val="none"/>
        </w:rPr>
        <w:t xml:space="preserve">   </w:t>
      </w:r>
    </w:p>
    <w:p w14:paraId="2F66885A" w14:textId="77777777" w:rsidR="000C0D45" w:rsidRPr="0093062E" w:rsidRDefault="000C0D45" w:rsidP="000C0D45">
      <w:pPr>
        <w:spacing w:after="0" w:line="255" w:lineRule="exact"/>
        <w:ind w:left="112"/>
        <w:jc w:val="both"/>
        <w:rPr>
          <w:rFonts w:ascii="Times New Roman" w:eastAsia="Times New Roman" w:hAnsi="Times New Roman" w:cs="Times New Roman"/>
          <w:b/>
          <w:kern w:val="0"/>
          <w:sz w:val="24"/>
          <w14:ligatures w14:val="none"/>
        </w:rPr>
      </w:pPr>
    </w:p>
    <w:p w14:paraId="0B899E65" w14:textId="77777777" w:rsidR="000C0D45" w:rsidRPr="0093062E" w:rsidRDefault="000C0D45" w:rsidP="000C0D45">
      <w:pPr>
        <w:spacing w:after="0" w:line="255" w:lineRule="exact"/>
        <w:ind w:left="112"/>
        <w:jc w:val="both"/>
        <w:rPr>
          <w:rFonts w:ascii="Times New Roman" w:eastAsia="Times New Roman" w:hAnsi="Times New Roman" w:cs="Times New Roman"/>
          <w:b/>
          <w:kern w:val="0"/>
          <w:sz w:val="24"/>
          <w14:ligatures w14:val="none"/>
        </w:rPr>
      </w:pPr>
    </w:p>
    <w:p w14:paraId="398E36EC" w14:textId="77777777" w:rsidR="000C0D45" w:rsidRPr="00627778" w:rsidRDefault="000C0D45" w:rsidP="000C0D45">
      <w:pPr>
        <w:spacing w:after="0" w:line="255" w:lineRule="exact"/>
        <w:ind w:left="112"/>
        <w:jc w:val="both"/>
        <w:rPr>
          <w:rFonts w:ascii="Times New Roman" w:eastAsia="Times New Roman" w:hAnsi="Times New Roman" w:cs="Times New Roman"/>
          <w:b/>
          <w:kern w:val="0"/>
          <w:sz w:val="24"/>
          <w14:ligatures w14:val="none"/>
        </w:rPr>
      </w:pPr>
    </w:p>
    <w:p w14:paraId="60E00DE6"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364"/>
    <w:multiLevelType w:val="hybridMultilevel"/>
    <w:tmpl w:val="3B36C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4913F2F"/>
    <w:multiLevelType w:val="hybridMultilevel"/>
    <w:tmpl w:val="564E8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3485437">
    <w:abstractNumId w:val="1"/>
  </w:num>
  <w:num w:numId="2" w16cid:durableId="66081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58"/>
    <w:rsid w:val="000639C5"/>
    <w:rsid w:val="000C0D45"/>
    <w:rsid w:val="000D0C63"/>
    <w:rsid w:val="000D3141"/>
    <w:rsid w:val="003D6AE6"/>
    <w:rsid w:val="004F5EF7"/>
    <w:rsid w:val="008231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C0A6"/>
  <w15:chartTrackingRefBased/>
  <w15:docId w15:val="{915C6F86-5508-4EB7-A9E1-818DE6AF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45"/>
  </w:style>
  <w:style w:type="paragraph" w:styleId="Balk1">
    <w:name w:val="heading 1"/>
    <w:basedOn w:val="Normal"/>
    <w:next w:val="Normal"/>
    <w:link w:val="Balk1Char"/>
    <w:uiPriority w:val="9"/>
    <w:qFormat/>
    <w:rsid w:val="0082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231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31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31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31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31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31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31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31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31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231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31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31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31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31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31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3158"/>
    <w:rPr>
      <w:rFonts w:eastAsiaTheme="majorEastAsia" w:cstheme="majorBidi"/>
      <w:color w:val="272727" w:themeColor="text1" w:themeTint="D8"/>
    </w:rPr>
  </w:style>
  <w:style w:type="paragraph" w:styleId="KonuBal">
    <w:name w:val="Title"/>
    <w:basedOn w:val="Normal"/>
    <w:next w:val="Normal"/>
    <w:link w:val="KonuBalChar"/>
    <w:uiPriority w:val="10"/>
    <w:qFormat/>
    <w:rsid w:val="0082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31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31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31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31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3158"/>
    <w:rPr>
      <w:i/>
      <w:iCs/>
      <w:color w:val="404040" w:themeColor="text1" w:themeTint="BF"/>
    </w:rPr>
  </w:style>
  <w:style w:type="paragraph" w:styleId="ListeParagraf">
    <w:name w:val="List Paragraph"/>
    <w:basedOn w:val="Normal"/>
    <w:uiPriority w:val="34"/>
    <w:qFormat/>
    <w:rsid w:val="00823158"/>
    <w:pPr>
      <w:ind w:left="720"/>
      <w:contextualSpacing/>
    </w:pPr>
  </w:style>
  <w:style w:type="character" w:styleId="GlVurgulama">
    <w:name w:val="Intense Emphasis"/>
    <w:basedOn w:val="VarsaylanParagrafYazTipi"/>
    <w:uiPriority w:val="21"/>
    <w:qFormat/>
    <w:rsid w:val="00823158"/>
    <w:rPr>
      <w:i/>
      <w:iCs/>
      <w:color w:val="2F5496" w:themeColor="accent1" w:themeShade="BF"/>
    </w:rPr>
  </w:style>
  <w:style w:type="paragraph" w:styleId="GlAlnt">
    <w:name w:val="Intense Quote"/>
    <w:basedOn w:val="Normal"/>
    <w:next w:val="Normal"/>
    <w:link w:val="GlAlntChar"/>
    <w:uiPriority w:val="30"/>
    <w:qFormat/>
    <w:rsid w:val="0082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3158"/>
    <w:rPr>
      <w:i/>
      <w:iCs/>
      <w:color w:val="2F5496" w:themeColor="accent1" w:themeShade="BF"/>
    </w:rPr>
  </w:style>
  <w:style w:type="character" w:styleId="GlBavuru">
    <w:name w:val="Intense Reference"/>
    <w:basedOn w:val="VarsaylanParagrafYazTipi"/>
    <w:uiPriority w:val="32"/>
    <w:qFormat/>
    <w:rsid w:val="00823158"/>
    <w:rPr>
      <w:b/>
      <w:bCs/>
      <w:smallCaps/>
      <w:color w:val="2F5496" w:themeColor="accent1" w:themeShade="BF"/>
      <w:spacing w:val="5"/>
    </w:rPr>
  </w:style>
  <w:style w:type="paragraph" w:styleId="NormalWeb">
    <w:name w:val="Normal (Web)"/>
    <w:basedOn w:val="Normal"/>
    <w:uiPriority w:val="99"/>
    <w:semiHidden/>
    <w:unhideWhenUsed/>
    <w:rsid w:val="000C0D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3232</Words>
  <Characters>18427</Characters>
  <Application>Microsoft Office Word</Application>
  <DocSecurity>0</DocSecurity>
  <Lines>153</Lines>
  <Paragraphs>43</Paragraphs>
  <ScaleCrop>false</ScaleCrop>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3</cp:revision>
  <dcterms:created xsi:type="dcterms:W3CDTF">2026-01-17T15:28:00Z</dcterms:created>
  <dcterms:modified xsi:type="dcterms:W3CDTF">2026-01-17T15:29:00Z</dcterms:modified>
</cp:coreProperties>
</file>