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03198" w14:textId="643A97BB" w:rsidR="00AA2594" w:rsidRPr="00D6599C" w:rsidRDefault="00614774" w:rsidP="00AA2594">
      <w:pPr>
        <w:jc w:val="both"/>
        <w:rPr>
          <w:rFonts w:asciiTheme="majorBidi" w:hAnsiTheme="majorBidi" w:cstheme="majorBidi"/>
          <w:sz w:val="24"/>
          <w:szCs w:val="24"/>
        </w:rPr>
      </w:pPr>
      <w:r>
        <w:rPr>
          <w:rFonts w:asciiTheme="majorBidi" w:hAnsiTheme="majorBidi" w:cstheme="majorBidi"/>
          <w:sz w:val="24"/>
          <w:szCs w:val="24"/>
        </w:rPr>
        <w:t xml:space="preserve">2025 Yılı </w:t>
      </w:r>
      <w:r w:rsidR="00AA2594" w:rsidRPr="00D6599C">
        <w:rPr>
          <w:rFonts w:asciiTheme="majorBidi" w:hAnsiTheme="majorBidi" w:cstheme="majorBidi"/>
          <w:sz w:val="24"/>
          <w:szCs w:val="24"/>
        </w:rPr>
        <w:t>Lisansüstü Öğrenci Memnuniyet Anketi</w:t>
      </w:r>
    </w:p>
    <w:p w14:paraId="1B0191C7" w14:textId="25EE6EAF" w:rsidR="00614774" w:rsidRPr="00614774" w:rsidRDefault="00614774" w:rsidP="00614774">
      <w:pPr>
        <w:jc w:val="both"/>
        <w:rPr>
          <w:rFonts w:asciiTheme="majorBidi" w:hAnsiTheme="majorBidi" w:cstheme="majorBidi"/>
          <w:sz w:val="24"/>
          <w:szCs w:val="24"/>
        </w:rPr>
      </w:pPr>
      <w:r w:rsidRPr="00614774">
        <w:rPr>
          <w:rFonts w:asciiTheme="majorBidi" w:hAnsiTheme="majorBidi" w:cstheme="majorBidi"/>
          <w:sz w:val="24"/>
          <w:szCs w:val="24"/>
        </w:rPr>
        <w:t>Maliye Tezli Yüksek Lisans ve Doktora programlarına kayıtlı öğrencilere, lisansüstü eğitim süreçlerinin niteliğini değerlendirmek, öğrencilerin bakış açısıyla programların güçlü ve gelişime açık yönlerini tespit etmek ve bu doğrultuda iyileştirici politikalar geliştirmek amacıyla her yıl düzenli olarak Lisansüstü Memnuniyet Anketi uygulanmaktadır. Söz konusu anket, bölümün kalite güvence sistemi içerisinde önemli bir geri bildirim mekanizması olarak değerlendirilmektedir.</w:t>
      </w:r>
    </w:p>
    <w:p w14:paraId="57BBDD8B" w14:textId="2FA8CB45" w:rsidR="00614774" w:rsidRPr="00614774" w:rsidRDefault="00614774" w:rsidP="00614774">
      <w:pPr>
        <w:jc w:val="both"/>
        <w:rPr>
          <w:rFonts w:asciiTheme="majorBidi" w:hAnsiTheme="majorBidi" w:cstheme="majorBidi"/>
          <w:sz w:val="24"/>
          <w:szCs w:val="24"/>
        </w:rPr>
      </w:pPr>
      <w:r w:rsidRPr="00614774">
        <w:rPr>
          <w:rFonts w:asciiTheme="majorBidi" w:hAnsiTheme="majorBidi" w:cstheme="majorBidi"/>
          <w:sz w:val="24"/>
          <w:szCs w:val="24"/>
        </w:rPr>
        <w:t>2025 yılı itibarıyla Maliye lisansüstü eğitim programlarına kayıtlı olan toplam 6 öğrenciye anket uygulanmış ve anket tüm öğrenciler tarafından yanıtlanmıştır. Ankete katılan öğrencilerin %50’si doktora, %50’si ise tezli yüksek lisans programına kayıtlıdır. Katılımcıların %67’si kadın, %33’ü ise erkektir. Öğrencilerin akademik aşamalara göre dağılımına bakıldığında, %50’sinin tez aşamasında, %33’ünün ders aşamasında ve %17’sinin yeterlilik aşamasında olduğu görülmektedir. Bu dağılım, anketin lisansüstü eğitimin farklı aşamalarındaki öğrenci deneyimlerini yansıtması açısından önem taşımaktadır.</w:t>
      </w:r>
    </w:p>
    <w:p w14:paraId="6FC79969" w14:textId="69003A7E" w:rsidR="00614774" w:rsidRPr="00614774" w:rsidRDefault="00614774" w:rsidP="00614774">
      <w:pPr>
        <w:jc w:val="both"/>
        <w:rPr>
          <w:rFonts w:asciiTheme="majorBidi" w:hAnsiTheme="majorBidi" w:cstheme="majorBidi"/>
          <w:sz w:val="24"/>
          <w:szCs w:val="24"/>
        </w:rPr>
      </w:pPr>
      <w:r w:rsidRPr="00614774">
        <w:rPr>
          <w:rFonts w:asciiTheme="majorBidi" w:hAnsiTheme="majorBidi" w:cstheme="majorBidi"/>
          <w:sz w:val="24"/>
          <w:szCs w:val="24"/>
        </w:rPr>
        <w:t>Danışmanlık süreçlerine ilişkin bulgular, lisansüstü eğitimde akademik rehberliğin etkin biçimde yürütüldüğünü ortaya koymaktadır. Ankete katılan öğrencilerin tamamı, son bir yıl içerisinde danışmanlarıyla beşten fazla kez görüştüklerini ifade etmiştir. Bu oranın 2024 yılında %83,5 düzeyinde gerçekleşmiş olması, 2025 yılı itibarıyla danışman–öğrenci etkileşiminin daha da güçlendiğini göstermektedir. Öğrencilerin %83’ü danışmanlarıyla yüz yüze, %17’si ise mobil iletişim araçları üzerinden iletişim kurduklarını belirtmiştir. Ayrıca ankete katılan öğrencilerin tamamı, danışmanlarıyla yaptıkları görüşmeler sırasında herhangi bir sorun yaşamadıklarını ifade etmiştir.</w:t>
      </w:r>
    </w:p>
    <w:p w14:paraId="22F042B2" w14:textId="77777777" w:rsidR="00614774" w:rsidRDefault="00614774" w:rsidP="00614774">
      <w:pPr>
        <w:jc w:val="both"/>
        <w:rPr>
          <w:rFonts w:asciiTheme="majorBidi" w:hAnsiTheme="majorBidi" w:cstheme="majorBidi"/>
          <w:sz w:val="24"/>
          <w:szCs w:val="24"/>
        </w:rPr>
      </w:pPr>
      <w:r w:rsidRPr="00614774">
        <w:rPr>
          <w:rFonts w:asciiTheme="majorBidi" w:hAnsiTheme="majorBidi" w:cstheme="majorBidi"/>
          <w:sz w:val="24"/>
          <w:szCs w:val="24"/>
        </w:rPr>
        <w:t>Elde edilen bulgular, Maliye Bölümünde lisansüstü danışmanlık sisteminin erişilebilir, düzenli ve öğrenci odaklı bir yapıya sahip olduğunu göstermektedir. Danışmanlarla kurulan etkin ve sorunsuz iletişim, öğrencilerin akademik ilerleme süreçlerini desteklemekte; tez, yeterlilik ve ders aşamalarının sağlıklı biçimde yürütülmesine önemli katkı sunmaktadır. Bu durum, bölümün lisansüstü eğitimde kalite güvencesini danışmanlık süreçleri üzerinden de güçlü bir şekilde sağladığını ortaya koymaktadır.</w:t>
      </w:r>
    </w:p>
    <w:p w14:paraId="08C5F8BB" w14:textId="4718F15C" w:rsidR="00AA2594" w:rsidRPr="00D6599C" w:rsidRDefault="00AA2594" w:rsidP="00614774">
      <w:pPr>
        <w:jc w:val="both"/>
        <w:rPr>
          <w:rFonts w:asciiTheme="majorBidi" w:hAnsiTheme="majorBidi" w:cstheme="majorBidi"/>
          <w:b/>
          <w:bCs/>
          <w:sz w:val="24"/>
          <w:szCs w:val="24"/>
        </w:rPr>
      </w:pPr>
      <w:r w:rsidRPr="00D6599C">
        <w:rPr>
          <w:rFonts w:asciiTheme="majorBidi" w:hAnsiTheme="majorBidi" w:cstheme="majorBidi"/>
          <w:b/>
          <w:bCs/>
          <w:sz w:val="24"/>
          <w:szCs w:val="24"/>
        </w:rPr>
        <w:t>Soru 4. Yüksek lisans/Doktora eğitimimi burada almaktan oldukça memnunum.</w:t>
      </w:r>
    </w:p>
    <w:p w14:paraId="2DE3DBAD" w14:textId="77777777" w:rsidR="00AA2594" w:rsidRPr="00D6599C" w:rsidRDefault="00AA2594" w:rsidP="00AA2594">
      <w:pPr>
        <w:jc w:val="both"/>
        <w:rPr>
          <w:rFonts w:asciiTheme="majorBidi" w:hAnsiTheme="majorBidi" w:cstheme="majorBidi"/>
          <w:sz w:val="24"/>
          <w:szCs w:val="24"/>
        </w:rPr>
      </w:pPr>
      <w:r w:rsidRPr="00D6599C">
        <w:rPr>
          <w:rFonts w:asciiTheme="majorBidi" w:hAnsiTheme="majorBidi" w:cstheme="majorBidi"/>
          <w:noProof/>
          <w:sz w:val="24"/>
          <w:szCs w:val="24"/>
        </w:rPr>
        <w:drawing>
          <wp:inline distT="0" distB="0" distL="0" distR="0" wp14:anchorId="3F5D7DAC" wp14:editId="70F7D2AF">
            <wp:extent cx="5486400" cy="1821180"/>
            <wp:effectExtent l="0" t="0" r="0" b="7620"/>
            <wp:docPr id="846230636"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96F491A" w14:textId="0D4C9A89" w:rsidR="00AA2594" w:rsidRPr="005D7D3E" w:rsidRDefault="005D7D3E" w:rsidP="008C2678">
      <w:pPr>
        <w:spacing w:after="0" w:line="240" w:lineRule="auto"/>
        <w:jc w:val="both"/>
        <w:rPr>
          <w:rFonts w:asciiTheme="majorBidi" w:eastAsia="Times New Roman" w:hAnsiTheme="majorBidi" w:cstheme="majorBidi"/>
          <w:color w:val="000000"/>
          <w:kern w:val="0"/>
          <w:sz w:val="24"/>
          <w:szCs w:val="24"/>
          <w:lang w:eastAsia="tr-TR"/>
          <w14:ligatures w14:val="none"/>
        </w:rPr>
      </w:pPr>
      <w:r w:rsidRPr="005D7D3E">
        <w:rPr>
          <w:rFonts w:asciiTheme="majorBidi" w:eastAsia="Times New Roman" w:hAnsiTheme="majorBidi" w:cstheme="majorBidi"/>
          <w:color w:val="000000"/>
          <w:kern w:val="0"/>
          <w:sz w:val="24"/>
          <w:szCs w:val="24"/>
          <w:lang w:eastAsia="tr-TR"/>
          <w14:ligatures w14:val="none"/>
        </w:rPr>
        <w:t xml:space="preserve">Ankete katılan öğrencilerin tamamı (%100), yüksek lisans/doktora eğitimlerini Çanakkale Onsekiz Mart Üniversitesi Maliye Bölümünde almaktan memnuniyet ve mutluluk duyduklarını ifade etmiştir. Bu oranın 2024 yılında %67 düzeyinde gerçekleşmiş olması, 2025 yılı itibarıyla öğrenci memnuniyetinde çok belirgin ve güçlü bir artışın sağlandığını göstermektedir. Elde </w:t>
      </w:r>
      <w:r w:rsidRPr="005D7D3E">
        <w:rPr>
          <w:rFonts w:asciiTheme="majorBidi" w:eastAsia="Times New Roman" w:hAnsiTheme="majorBidi" w:cstheme="majorBidi"/>
          <w:color w:val="000000"/>
          <w:kern w:val="0"/>
          <w:sz w:val="24"/>
          <w:szCs w:val="24"/>
          <w:lang w:eastAsia="tr-TR"/>
          <w14:ligatures w14:val="none"/>
        </w:rPr>
        <w:lastRenderedPageBreak/>
        <w:t>edilen bu bulgu, bölümün lisansüstü eğitimde sunduğu akademik ortam, danışmanlık sistemi ve genel öğrenme deneyiminin öğrenciler nezdinde son derece olumlu bir algıya sahip olduğunu ortaya koymaktadır.</w:t>
      </w:r>
    </w:p>
    <w:p w14:paraId="5D542856" w14:textId="77777777" w:rsidR="00AA2594" w:rsidRPr="00D6599C" w:rsidRDefault="00AA2594" w:rsidP="00AA2594">
      <w:pPr>
        <w:spacing w:after="0" w:line="240" w:lineRule="auto"/>
        <w:jc w:val="both"/>
        <w:rPr>
          <w:rFonts w:asciiTheme="majorBidi" w:hAnsiTheme="majorBidi" w:cstheme="majorBidi"/>
          <w:sz w:val="24"/>
          <w:szCs w:val="24"/>
        </w:rPr>
      </w:pPr>
    </w:p>
    <w:p w14:paraId="009C466F" w14:textId="76424B8A" w:rsidR="00AA2594" w:rsidRPr="00817511" w:rsidRDefault="00AA2594" w:rsidP="00AA2594">
      <w:pPr>
        <w:spacing w:after="0" w:line="240" w:lineRule="auto"/>
        <w:jc w:val="both"/>
        <w:rPr>
          <w:rFonts w:asciiTheme="majorBidi" w:hAnsiTheme="majorBidi" w:cstheme="majorBidi"/>
          <w:b/>
          <w:bCs/>
          <w:sz w:val="24"/>
          <w:szCs w:val="24"/>
        </w:rPr>
      </w:pPr>
      <w:r w:rsidRPr="00817511">
        <w:rPr>
          <w:rFonts w:asciiTheme="majorBidi" w:hAnsiTheme="majorBidi" w:cstheme="majorBidi"/>
          <w:b/>
          <w:bCs/>
          <w:sz w:val="24"/>
          <w:szCs w:val="24"/>
        </w:rPr>
        <w:t xml:space="preserve">Soru </w:t>
      </w:r>
      <w:r w:rsidR="00817511" w:rsidRPr="00817511">
        <w:rPr>
          <w:rFonts w:asciiTheme="majorBidi" w:hAnsiTheme="majorBidi" w:cstheme="majorBidi"/>
          <w:b/>
          <w:bCs/>
          <w:sz w:val="24"/>
          <w:szCs w:val="24"/>
        </w:rPr>
        <w:t>2</w:t>
      </w:r>
      <w:r w:rsidRPr="00817511">
        <w:rPr>
          <w:rFonts w:asciiTheme="majorBidi" w:hAnsiTheme="majorBidi" w:cstheme="majorBidi"/>
          <w:b/>
          <w:bCs/>
          <w:sz w:val="24"/>
          <w:szCs w:val="24"/>
        </w:rPr>
        <w:t>. Çevremdeki arkadaşlarıma yüksek lisans/doktora eğitimini burada almalarını öneririm.</w:t>
      </w:r>
    </w:p>
    <w:p w14:paraId="0646C5FA" w14:textId="4C126C61" w:rsidR="00AA2594" w:rsidRPr="00D6599C" w:rsidRDefault="00F278A6" w:rsidP="00AA2594">
      <w:pPr>
        <w:spacing w:after="0" w:line="240" w:lineRule="auto"/>
        <w:jc w:val="both"/>
        <w:rPr>
          <w:rFonts w:asciiTheme="majorBidi" w:eastAsia="Times New Roman" w:hAnsiTheme="majorBidi" w:cstheme="majorBidi"/>
          <w:color w:val="000000"/>
          <w:kern w:val="0"/>
          <w:sz w:val="24"/>
          <w:szCs w:val="24"/>
          <w:lang w:eastAsia="tr-TR"/>
          <w14:ligatures w14:val="none"/>
        </w:rPr>
      </w:pPr>
      <w:r w:rsidRPr="00D6599C">
        <w:rPr>
          <w:rFonts w:asciiTheme="majorBidi" w:hAnsiTheme="majorBidi" w:cstheme="majorBidi"/>
          <w:noProof/>
          <w:sz w:val="24"/>
          <w:szCs w:val="24"/>
        </w:rPr>
        <w:drawing>
          <wp:inline distT="0" distB="0" distL="0" distR="0" wp14:anchorId="79D499E7" wp14:editId="6C213CDC">
            <wp:extent cx="5486400" cy="1699260"/>
            <wp:effectExtent l="0" t="0" r="0" b="15240"/>
            <wp:docPr id="582413790"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5052E19" w14:textId="77777777" w:rsidR="006C0697" w:rsidRPr="006C0697" w:rsidRDefault="006C0697" w:rsidP="00AA2594">
      <w:pPr>
        <w:jc w:val="both"/>
        <w:rPr>
          <w:rFonts w:asciiTheme="majorBidi" w:eastAsia="Times New Roman" w:hAnsiTheme="majorBidi" w:cstheme="majorBidi"/>
          <w:color w:val="000000"/>
          <w:kern w:val="0"/>
          <w:sz w:val="24"/>
          <w:szCs w:val="24"/>
          <w:lang w:eastAsia="tr-TR"/>
          <w14:ligatures w14:val="none"/>
        </w:rPr>
      </w:pPr>
      <w:r w:rsidRPr="006C0697">
        <w:rPr>
          <w:rFonts w:asciiTheme="majorBidi" w:eastAsia="Times New Roman" w:hAnsiTheme="majorBidi" w:cstheme="majorBidi"/>
          <w:color w:val="000000"/>
          <w:kern w:val="0"/>
          <w:sz w:val="24"/>
          <w:szCs w:val="24"/>
          <w:lang w:eastAsia="tr-TR"/>
          <w14:ligatures w14:val="none"/>
        </w:rPr>
        <w:t>Ankete katılan öğrencilerin tamamı (%100), öğrenim gördükleri lisansüstü programı çevrelerindeki kişilere tavsiye edebileceklerini ifade etmiştir. Bu bulgu, Maliye Bölümünün lisansüstü eğitim programlarının akademik niteliği, ders içerikleri, danışmanlık süreçleri ve genel öğrenme ortamı açısından öğrenciler nezdinde son derece yüksek bir memnuniyet ve güven düzeyine sahip olduğunu göstermektedir.</w:t>
      </w:r>
    </w:p>
    <w:p w14:paraId="16DFAC29" w14:textId="59404847" w:rsidR="00AA2594" w:rsidRDefault="00AA2594" w:rsidP="00AA2594">
      <w:pPr>
        <w:jc w:val="both"/>
        <w:rPr>
          <w:rFonts w:asciiTheme="majorBidi" w:hAnsiTheme="majorBidi" w:cstheme="majorBidi"/>
          <w:b/>
          <w:bCs/>
          <w:sz w:val="24"/>
          <w:szCs w:val="24"/>
        </w:rPr>
      </w:pPr>
      <w:r w:rsidRPr="00D6599C">
        <w:rPr>
          <w:rFonts w:asciiTheme="majorBidi" w:hAnsiTheme="majorBidi" w:cstheme="majorBidi"/>
          <w:b/>
          <w:bCs/>
          <w:sz w:val="24"/>
          <w:szCs w:val="24"/>
        </w:rPr>
        <w:t xml:space="preserve">Soru </w:t>
      </w:r>
      <w:r w:rsidR="00B85441">
        <w:rPr>
          <w:rFonts w:asciiTheme="majorBidi" w:hAnsiTheme="majorBidi" w:cstheme="majorBidi"/>
          <w:b/>
          <w:bCs/>
          <w:sz w:val="24"/>
          <w:szCs w:val="24"/>
        </w:rPr>
        <w:t>3</w:t>
      </w:r>
      <w:r w:rsidRPr="00D6599C">
        <w:rPr>
          <w:rFonts w:asciiTheme="majorBidi" w:hAnsiTheme="majorBidi" w:cstheme="majorBidi"/>
          <w:b/>
          <w:bCs/>
          <w:sz w:val="24"/>
          <w:szCs w:val="24"/>
        </w:rPr>
        <w:t>. Programın eğitim planındaki ders çeşitliliği yeterlidir.</w:t>
      </w:r>
    </w:p>
    <w:p w14:paraId="7B016AFD" w14:textId="0E2AA60A" w:rsidR="002C46C3" w:rsidRPr="00D6599C" w:rsidRDefault="002C46C3" w:rsidP="00AA2594">
      <w:pPr>
        <w:jc w:val="both"/>
        <w:rPr>
          <w:rFonts w:asciiTheme="majorBidi" w:hAnsiTheme="majorBidi" w:cstheme="majorBidi"/>
          <w:b/>
          <w:bCs/>
          <w:sz w:val="24"/>
          <w:szCs w:val="24"/>
        </w:rPr>
      </w:pPr>
      <w:r w:rsidRPr="00D6599C">
        <w:rPr>
          <w:rFonts w:asciiTheme="majorBidi" w:eastAsia="Times New Roman" w:hAnsiTheme="majorBidi" w:cstheme="majorBidi"/>
          <w:noProof/>
          <w:color w:val="000000"/>
          <w:kern w:val="0"/>
          <w:sz w:val="24"/>
          <w:szCs w:val="24"/>
          <w:lang w:eastAsia="tr-TR"/>
        </w:rPr>
        <w:drawing>
          <wp:inline distT="0" distB="0" distL="0" distR="0" wp14:anchorId="15308DC6" wp14:editId="42169E13">
            <wp:extent cx="5486400" cy="1104900"/>
            <wp:effectExtent l="0" t="0" r="0" b="0"/>
            <wp:docPr id="534180512"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DDC5AAB" w14:textId="43834D25" w:rsidR="00AA2594" w:rsidRPr="00D6599C" w:rsidRDefault="00AA2594" w:rsidP="00AA2594">
      <w:pPr>
        <w:jc w:val="both"/>
        <w:rPr>
          <w:rFonts w:asciiTheme="majorBidi" w:hAnsiTheme="majorBidi" w:cstheme="majorBidi"/>
          <w:noProof/>
          <w:sz w:val="24"/>
          <w:szCs w:val="24"/>
        </w:rPr>
      </w:pPr>
    </w:p>
    <w:p w14:paraId="634EC2F5" w14:textId="0B350136" w:rsidR="00BA50CD" w:rsidRPr="00D6599C" w:rsidRDefault="00BA50CD" w:rsidP="00460F18">
      <w:pPr>
        <w:jc w:val="both"/>
        <w:rPr>
          <w:rFonts w:asciiTheme="majorBidi" w:eastAsia="Times New Roman" w:hAnsiTheme="majorBidi" w:cstheme="majorBidi"/>
          <w:color w:val="000000"/>
          <w:kern w:val="0"/>
          <w:sz w:val="24"/>
          <w:szCs w:val="24"/>
          <w:lang w:eastAsia="tr-TR"/>
          <w14:ligatures w14:val="none"/>
        </w:rPr>
      </w:pPr>
      <w:r w:rsidRPr="00BA50CD">
        <w:rPr>
          <w:rFonts w:asciiTheme="majorBidi" w:eastAsia="Times New Roman" w:hAnsiTheme="majorBidi" w:cstheme="majorBidi"/>
          <w:color w:val="000000"/>
          <w:kern w:val="0"/>
          <w:sz w:val="24"/>
          <w:szCs w:val="24"/>
          <w:lang w:eastAsia="tr-TR"/>
          <w14:ligatures w14:val="none"/>
        </w:rPr>
        <w:t>Ankete katılan öğrencilerin tamamı (%100), kayıtlı oldukları yüksek lisans/doktora programlarının ders içeriklerini yeterli bulduklarını ifade etmiştir. Bu oranın 2024 yılında %67 düzeyinde gerçekleşmiş olması, 2025 yılı itibarıyla ders içeriklerinin kapsamı, güncelliği ve akademik yeterliliğine ilişkin memnuniyetin çok belirgin biçimde arttığını göstermektedir. Bu bulgu, Maliye Bölümünün lisansüstü müfredatının öğrenci beklentileriyle güçlü bir uyum içinde olduğunu ve programların akademik hedeflerini başarıyla desteklediğini ortaya koymaktadır.</w:t>
      </w:r>
    </w:p>
    <w:p w14:paraId="774E1440" w14:textId="430022A1" w:rsidR="00AA2594" w:rsidRPr="00141834" w:rsidRDefault="00AA2594" w:rsidP="00AA2594">
      <w:pPr>
        <w:jc w:val="both"/>
        <w:rPr>
          <w:rFonts w:asciiTheme="majorBidi" w:eastAsia="Times New Roman" w:hAnsiTheme="majorBidi" w:cstheme="majorBidi"/>
          <w:b/>
          <w:bCs/>
          <w:color w:val="000000"/>
          <w:kern w:val="0"/>
          <w:sz w:val="24"/>
          <w:szCs w:val="24"/>
          <w:lang w:eastAsia="tr-TR"/>
          <w14:ligatures w14:val="none"/>
        </w:rPr>
      </w:pPr>
      <w:r w:rsidRPr="00141834">
        <w:rPr>
          <w:rFonts w:asciiTheme="majorBidi" w:eastAsia="Times New Roman" w:hAnsiTheme="majorBidi" w:cstheme="majorBidi"/>
          <w:b/>
          <w:bCs/>
          <w:color w:val="000000"/>
          <w:kern w:val="0"/>
          <w:sz w:val="24"/>
          <w:szCs w:val="24"/>
          <w:lang w:eastAsia="tr-TR"/>
          <w14:ligatures w14:val="none"/>
        </w:rPr>
        <w:t xml:space="preserve">Soru </w:t>
      </w:r>
      <w:r w:rsidR="00141834" w:rsidRPr="00141834">
        <w:rPr>
          <w:rFonts w:asciiTheme="majorBidi" w:eastAsia="Times New Roman" w:hAnsiTheme="majorBidi" w:cstheme="majorBidi"/>
          <w:b/>
          <w:bCs/>
          <w:color w:val="000000"/>
          <w:kern w:val="0"/>
          <w:sz w:val="24"/>
          <w:szCs w:val="24"/>
          <w:lang w:eastAsia="tr-TR"/>
          <w14:ligatures w14:val="none"/>
        </w:rPr>
        <w:t>4</w:t>
      </w:r>
      <w:r w:rsidRPr="00141834">
        <w:rPr>
          <w:rFonts w:asciiTheme="majorBidi" w:eastAsia="Times New Roman" w:hAnsiTheme="majorBidi" w:cstheme="majorBidi"/>
          <w:b/>
          <w:bCs/>
          <w:color w:val="000000"/>
          <w:kern w:val="0"/>
          <w:sz w:val="24"/>
          <w:szCs w:val="24"/>
          <w:lang w:eastAsia="tr-TR"/>
          <w14:ligatures w14:val="none"/>
        </w:rPr>
        <w:t>. Ders saatleri etkili bir şekilde kullanılmaktadır.</w:t>
      </w:r>
    </w:p>
    <w:p w14:paraId="096BC919" w14:textId="1241E811" w:rsidR="00AA2594" w:rsidRPr="00D6599C" w:rsidRDefault="00321BDE" w:rsidP="00AA2594">
      <w:pPr>
        <w:jc w:val="both"/>
        <w:rPr>
          <w:rFonts w:asciiTheme="majorBidi" w:eastAsia="Times New Roman" w:hAnsiTheme="majorBidi" w:cstheme="majorBidi"/>
          <w:color w:val="000000"/>
          <w:kern w:val="0"/>
          <w:sz w:val="24"/>
          <w:szCs w:val="24"/>
          <w:lang w:eastAsia="tr-TR"/>
          <w14:ligatures w14:val="none"/>
        </w:rPr>
      </w:pPr>
      <w:r>
        <w:rPr>
          <w:rFonts w:asciiTheme="majorBidi" w:eastAsia="Times New Roman" w:hAnsiTheme="majorBidi" w:cstheme="majorBidi"/>
          <w:noProof/>
          <w:color w:val="000000"/>
          <w:kern w:val="0"/>
          <w:sz w:val="24"/>
          <w:szCs w:val="24"/>
          <w:lang w:eastAsia="tr-TR"/>
        </w:rPr>
        <w:drawing>
          <wp:inline distT="0" distB="0" distL="0" distR="0" wp14:anchorId="057095AB" wp14:editId="77A157F7">
            <wp:extent cx="5486400" cy="1173480"/>
            <wp:effectExtent l="0" t="0" r="0" b="7620"/>
            <wp:docPr id="2076630812"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663B09" w14:textId="77777777" w:rsidR="00504167" w:rsidRDefault="00504167" w:rsidP="00AA2594">
      <w:pPr>
        <w:jc w:val="both"/>
        <w:rPr>
          <w:rFonts w:asciiTheme="majorBidi" w:hAnsiTheme="majorBidi" w:cstheme="majorBidi"/>
          <w:sz w:val="24"/>
          <w:szCs w:val="24"/>
        </w:rPr>
      </w:pPr>
      <w:r w:rsidRPr="00504167">
        <w:rPr>
          <w:rFonts w:asciiTheme="majorBidi" w:hAnsiTheme="majorBidi" w:cstheme="majorBidi"/>
          <w:sz w:val="24"/>
          <w:szCs w:val="24"/>
        </w:rPr>
        <w:lastRenderedPageBreak/>
        <w:t>Ankete katılan öğrencilerin tamamı (%100), lisansüstü programlarda ders saatlerinin etkili ve verimli biçimde kullanıldığını ifade etmiştir. Bu oranın önceki dönemde %84 düzeyinde gerçekleşmiş olması, 2025 yılı itibarıyla derslerin işlenişine ve zaman yönetimine ilişkin öğrenci memnuniyetinde belirgin bir artış sağlandığını göstermektedir. Elde edilen bu bulgu, öğretim elemanlarının ders planlaması ve uygulama süreçlerinde etkin bir yaklaşım benimsediklerini ortaya koymaktadır.</w:t>
      </w:r>
    </w:p>
    <w:p w14:paraId="2107FA02" w14:textId="7037DF44" w:rsidR="00D86710" w:rsidRPr="00D6599C" w:rsidRDefault="00D86710" w:rsidP="00D86710">
      <w:pPr>
        <w:jc w:val="both"/>
        <w:rPr>
          <w:rFonts w:asciiTheme="majorBidi" w:hAnsiTheme="majorBidi" w:cstheme="majorBidi"/>
          <w:sz w:val="24"/>
          <w:szCs w:val="24"/>
        </w:rPr>
      </w:pPr>
      <w:r w:rsidRPr="00D6599C">
        <w:rPr>
          <w:rFonts w:asciiTheme="majorBidi" w:hAnsiTheme="majorBidi" w:cstheme="majorBidi"/>
          <w:b/>
          <w:bCs/>
          <w:sz w:val="24"/>
          <w:szCs w:val="24"/>
        </w:rPr>
        <w:t xml:space="preserve">Soru </w:t>
      </w:r>
      <w:r>
        <w:rPr>
          <w:rFonts w:asciiTheme="majorBidi" w:hAnsiTheme="majorBidi" w:cstheme="majorBidi"/>
          <w:b/>
          <w:bCs/>
          <w:sz w:val="24"/>
          <w:szCs w:val="24"/>
        </w:rPr>
        <w:t>5</w:t>
      </w:r>
      <w:r w:rsidRPr="00D6599C">
        <w:rPr>
          <w:rFonts w:asciiTheme="majorBidi" w:hAnsiTheme="majorBidi" w:cstheme="majorBidi"/>
          <w:b/>
          <w:bCs/>
          <w:sz w:val="24"/>
          <w:szCs w:val="24"/>
        </w:rPr>
        <w:t>. Programın eğitim planı kapsamında aldığım ders saatlerinin süresi yeterlidir.</w:t>
      </w:r>
      <w:r w:rsidRPr="00D6599C">
        <w:rPr>
          <w:rFonts w:asciiTheme="majorBidi" w:hAnsiTheme="majorBidi" w:cstheme="majorBidi"/>
          <w:noProof/>
          <w:sz w:val="24"/>
          <w:szCs w:val="24"/>
        </w:rPr>
        <w:drawing>
          <wp:inline distT="0" distB="0" distL="0" distR="0" wp14:anchorId="3A09B3DE" wp14:editId="3C7237D2">
            <wp:extent cx="5486400" cy="1699260"/>
            <wp:effectExtent l="0" t="0" r="0" b="15240"/>
            <wp:docPr id="2078968940"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443FD86" w14:textId="5ACD2161" w:rsidR="008D5A0B" w:rsidRPr="00504167" w:rsidRDefault="00682974" w:rsidP="00AA2594">
      <w:pPr>
        <w:jc w:val="both"/>
        <w:rPr>
          <w:rFonts w:asciiTheme="majorBidi" w:hAnsiTheme="majorBidi" w:cstheme="majorBidi"/>
          <w:sz w:val="24"/>
          <w:szCs w:val="24"/>
        </w:rPr>
      </w:pPr>
      <w:r w:rsidRPr="00682974">
        <w:rPr>
          <w:rFonts w:asciiTheme="majorBidi" w:hAnsiTheme="majorBidi" w:cstheme="majorBidi"/>
          <w:sz w:val="24"/>
          <w:szCs w:val="24"/>
        </w:rPr>
        <w:t>Ankete katılan öğrencilerin tamamı (%100), öğrenim gördükleri lisansüstü programlarda ders saati sürelerinin yeterli olduğunu ifade etmiştir. Bu oranın 2024 yılında %67 düzeyinde gerçekleşmiş olması, 2025 yılı itibarıyla ders saatlerinin planlanması ve uygulanmasına ilişkin öğrenci memnuniyetinde çok belirgin bir iyileşme sağlandığını göstermektedir. Bu bulgu, Maliye Bölümünün lisansüstü eğitimde ders yükü ve zaman yönetimini program amaçları ve öğrenci ihtiyaçları doğrultusunda etkin biçimde düzenlediğine işaret etmektedir.</w:t>
      </w:r>
    </w:p>
    <w:p w14:paraId="52B6E77B" w14:textId="453BBB61" w:rsidR="00AA2594" w:rsidRDefault="00AA2594" w:rsidP="00B72284">
      <w:pPr>
        <w:jc w:val="both"/>
        <w:rPr>
          <w:rFonts w:asciiTheme="majorBidi" w:hAnsiTheme="majorBidi" w:cstheme="majorBidi"/>
          <w:b/>
          <w:bCs/>
          <w:sz w:val="24"/>
          <w:szCs w:val="24"/>
        </w:rPr>
      </w:pPr>
      <w:r w:rsidRPr="00D6599C">
        <w:rPr>
          <w:rFonts w:asciiTheme="majorBidi" w:hAnsiTheme="majorBidi" w:cstheme="majorBidi"/>
          <w:b/>
          <w:bCs/>
          <w:sz w:val="24"/>
          <w:szCs w:val="24"/>
        </w:rPr>
        <w:t xml:space="preserve">Soru </w:t>
      </w:r>
      <w:r w:rsidR="00682974">
        <w:rPr>
          <w:rFonts w:asciiTheme="majorBidi" w:hAnsiTheme="majorBidi" w:cstheme="majorBidi"/>
          <w:b/>
          <w:bCs/>
          <w:sz w:val="24"/>
          <w:szCs w:val="24"/>
        </w:rPr>
        <w:t>6</w:t>
      </w:r>
      <w:r w:rsidRPr="00D6599C">
        <w:rPr>
          <w:rFonts w:asciiTheme="majorBidi" w:hAnsiTheme="majorBidi" w:cstheme="majorBidi"/>
          <w:b/>
          <w:bCs/>
          <w:sz w:val="24"/>
          <w:szCs w:val="24"/>
        </w:rPr>
        <w:t>. Dersler</w:t>
      </w:r>
      <w:r w:rsidR="00B72284">
        <w:rPr>
          <w:rFonts w:asciiTheme="majorBidi" w:hAnsiTheme="majorBidi" w:cstheme="majorBidi"/>
          <w:b/>
          <w:bCs/>
          <w:sz w:val="24"/>
          <w:szCs w:val="24"/>
        </w:rPr>
        <w:t xml:space="preserve"> Saatleri Etkili Bir Biçimde Kullanıl</w:t>
      </w:r>
      <w:r w:rsidR="00CD2CB5">
        <w:rPr>
          <w:rFonts w:asciiTheme="majorBidi" w:hAnsiTheme="majorBidi" w:cstheme="majorBidi"/>
          <w:b/>
          <w:bCs/>
          <w:sz w:val="24"/>
          <w:szCs w:val="24"/>
        </w:rPr>
        <w:t>maktadır.</w:t>
      </w:r>
    </w:p>
    <w:p w14:paraId="4DDB36F8" w14:textId="09FE781F" w:rsidR="00AA2594" w:rsidRPr="004C12B7" w:rsidRDefault="004C7E56" w:rsidP="004C12B7">
      <w:pPr>
        <w:jc w:val="both"/>
        <w:rPr>
          <w:rFonts w:asciiTheme="majorBidi" w:hAnsiTheme="majorBidi" w:cstheme="majorBidi"/>
          <w:b/>
          <w:bCs/>
          <w:sz w:val="24"/>
          <w:szCs w:val="24"/>
        </w:rPr>
      </w:pPr>
      <w:r>
        <w:rPr>
          <w:rFonts w:asciiTheme="majorBidi" w:hAnsiTheme="majorBidi" w:cstheme="majorBidi"/>
          <w:b/>
          <w:bCs/>
          <w:noProof/>
          <w:sz w:val="24"/>
          <w:szCs w:val="24"/>
        </w:rPr>
        <w:drawing>
          <wp:inline distT="0" distB="0" distL="0" distR="0" wp14:anchorId="782690D4" wp14:editId="3DBA122C">
            <wp:extent cx="5486400" cy="1348740"/>
            <wp:effectExtent l="0" t="0" r="0" b="3810"/>
            <wp:docPr id="1034645478"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725C1D" w14:textId="01D3686C" w:rsidR="009A582B" w:rsidRDefault="009F0D91" w:rsidP="00AA2594">
      <w:pPr>
        <w:jc w:val="both"/>
        <w:rPr>
          <w:rFonts w:asciiTheme="majorBidi" w:hAnsiTheme="majorBidi" w:cstheme="majorBidi"/>
          <w:sz w:val="24"/>
          <w:szCs w:val="24"/>
        </w:rPr>
      </w:pPr>
      <w:r w:rsidRPr="009F0D91">
        <w:rPr>
          <w:rFonts w:asciiTheme="majorBidi" w:hAnsiTheme="majorBidi" w:cstheme="majorBidi"/>
          <w:sz w:val="24"/>
          <w:szCs w:val="24"/>
        </w:rPr>
        <w:t>Ankete katılan öğrencilerin %83’ü lisansüstü programlarda ders saatlerinin etkili ve verimli bir biçimde kullanıldığını ifade etmiştir. Bu oranın 2024 yılında %</w:t>
      </w:r>
      <w:r w:rsidR="00636CD9">
        <w:rPr>
          <w:rFonts w:asciiTheme="majorBidi" w:hAnsiTheme="majorBidi" w:cstheme="majorBidi"/>
          <w:sz w:val="24"/>
          <w:szCs w:val="24"/>
        </w:rPr>
        <w:t>84</w:t>
      </w:r>
      <w:r w:rsidRPr="009F0D91">
        <w:rPr>
          <w:rFonts w:asciiTheme="majorBidi" w:hAnsiTheme="majorBidi" w:cstheme="majorBidi"/>
          <w:sz w:val="24"/>
          <w:szCs w:val="24"/>
        </w:rPr>
        <w:t xml:space="preserve"> düzeyinde gerçekleşmiş olması, derslerin işlenişi ve zaman yönetimine ilişkin öğrenci memnuniyetinde anlamlı bir iyileşme sağlandığını göstermektedir. Elde edilen bu bulgu, öğretim elemanlarının ders planlaması ve uygulama süreçlerinde daha etkin bir yaklaşım benimsediklerine işaret etmektedir.</w:t>
      </w:r>
    </w:p>
    <w:p w14:paraId="0F8F26E2" w14:textId="576FA05D" w:rsidR="00CD2CB5" w:rsidRDefault="009A582B" w:rsidP="009A582B">
      <w:pPr>
        <w:rPr>
          <w:rFonts w:asciiTheme="majorBidi" w:hAnsiTheme="majorBidi" w:cstheme="majorBidi"/>
          <w:sz w:val="24"/>
          <w:szCs w:val="24"/>
        </w:rPr>
      </w:pPr>
      <w:r>
        <w:rPr>
          <w:rFonts w:asciiTheme="majorBidi" w:hAnsiTheme="majorBidi" w:cstheme="majorBidi"/>
          <w:sz w:val="24"/>
          <w:szCs w:val="24"/>
        </w:rPr>
        <w:br w:type="page"/>
      </w:r>
    </w:p>
    <w:p w14:paraId="233AFDC4" w14:textId="240C041A" w:rsidR="009A582B" w:rsidRPr="00D6599C" w:rsidRDefault="009A582B" w:rsidP="009A582B">
      <w:pPr>
        <w:jc w:val="both"/>
        <w:rPr>
          <w:rFonts w:asciiTheme="majorBidi" w:hAnsiTheme="majorBidi" w:cstheme="majorBidi"/>
          <w:b/>
          <w:bCs/>
          <w:sz w:val="24"/>
          <w:szCs w:val="24"/>
        </w:rPr>
      </w:pPr>
      <w:r w:rsidRPr="00D6599C">
        <w:rPr>
          <w:rFonts w:asciiTheme="majorBidi" w:hAnsiTheme="majorBidi" w:cstheme="majorBidi"/>
          <w:b/>
          <w:bCs/>
          <w:sz w:val="24"/>
          <w:szCs w:val="24"/>
        </w:rPr>
        <w:lastRenderedPageBreak/>
        <w:t xml:space="preserve">Soru </w:t>
      </w:r>
      <w:r>
        <w:rPr>
          <w:rFonts w:asciiTheme="majorBidi" w:hAnsiTheme="majorBidi" w:cstheme="majorBidi"/>
          <w:b/>
          <w:bCs/>
          <w:sz w:val="24"/>
          <w:szCs w:val="24"/>
        </w:rPr>
        <w:t>7</w:t>
      </w:r>
      <w:r w:rsidRPr="00D6599C">
        <w:rPr>
          <w:rFonts w:asciiTheme="majorBidi" w:hAnsiTheme="majorBidi" w:cstheme="majorBidi"/>
          <w:b/>
          <w:bCs/>
          <w:sz w:val="24"/>
          <w:szCs w:val="24"/>
        </w:rPr>
        <w:t>. Derslerde kullanılan basılı ve görsel materyaller yeterlidir.</w:t>
      </w:r>
    </w:p>
    <w:p w14:paraId="292604F9" w14:textId="77777777" w:rsidR="009A582B" w:rsidRPr="00D6599C" w:rsidRDefault="009A582B" w:rsidP="009A582B">
      <w:pPr>
        <w:jc w:val="both"/>
        <w:rPr>
          <w:rFonts w:asciiTheme="majorBidi" w:hAnsiTheme="majorBidi" w:cstheme="majorBidi"/>
          <w:sz w:val="24"/>
          <w:szCs w:val="24"/>
        </w:rPr>
      </w:pPr>
      <w:r w:rsidRPr="00D6599C">
        <w:rPr>
          <w:rFonts w:asciiTheme="majorBidi" w:hAnsiTheme="majorBidi" w:cstheme="majorBidi"/>
          <w:noProof/>
          <w:sz w:val="24"/>
          <w:szCs w:val="24"/>
        </w:rPr>
        <w:drawing>
          <wp:inline distT="0" distB="0" distL="0" distR="0" wp14:anchorId="4663E8EF" wp14:editId="4056A4C0">
            <wp:extent cx="5486400" cy="1897380"/>
            <wp:effectExtent l="0" t="0" r="0" b="7620"/>
            <wp:docPr id="1157473047"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F2253D" w14:textId="66705CD4" w:rsidR="009F0D91" w:rsidRDefault="009A582B" w:rsidP="00E618D9">
      <w:pPr>
        <w:jc w:val="both"/>
        <w:rPr>
          <w:rFonts w:asciiTheme="majorBidi" w:hAnsiTheme="majorBidi" w:cstheme="majorBidi"/>
          <w:sz w:val="24"/>
          <w:szCs w:val="24"/>
        </w:rPr>
      </w:pPr>
      <w:r w:rsidRPr="00D6599C">
        <w:rPr>
          <w:rFonts w:asciiTheme="majorBidi" w:hAnsiTheme="majorBidi" w:cstheme="majorBidi"/>
          <w:sz w:val="24"/>
          <w:szCs w:val="24"/>
        </w:rPr>
        <w:t xml:space="preserve">Ankete katılan öğrencilerin %67’si derslerde kullanılan basılı ve görsel materyaller yeterli olduğunu, % 33’ü ise </w:t>
      </w:r>
      <w:r w:rsidR="00E618D9">
        <w:rPr>
          <w:rFonts w:asciiTheme="majorBidi" w:hAnsiTheme="majorBidi" w:cstheme="majorBidi"/>
          <w:sz w:val="24"/>
          <w:szCs w:val="24"/>
        </w:rPr>
        <w:t>kararsız olduğunu belirtmiştir.</w:t>
      </w:r>
    </w:p>
    <w:p w14:paraId="2B9AF60F" w14:textId="1D3F4944" w:rsidR="00AA2594" w:rsidRPr="00D6599C" w:rsidRDefault="00AA2594" w:rsidP="00AA2594">
      <w:pPr>
        <w:jc w:val="both"/>
        <w:rPr>
          <w:rFonts w:asciiTheme="majorBidi" w:hAnsiTheme="majorBidi" w:cstheme="majorBidi"/>
          <w:b/>
          <w:bCs/>
          <w:sz w:val="24"/>
          <w:szCs w:val="24"/>
        </w:rPr>
      </w:pPr>
      <w:r w:rsidRPr="00D6599C">
        <w:rPr>
          <w:rFonts w:asciiTheme="majorBidi" w:hAnsiTheme="majorBidi" w:cstheme="majorBidi"/>
          <w:b/>
          <w:bCs/>
          <w:sz w:val="24"/>
          <w:szCs w:val="24"/>
        </w:rPr>
        <w:t xml:space="preserve">Soru </w:t>
      </w:r>
      <w:r w:rsidR="00842000">
        <w:rPr>
          <w:rFonts w:asciiTheme="majorBidi" w:hAnsiTheme="majorBidi" w:cstheme="majorBidi"/>
          <w:b/>
          <w:bCs/>
          <w:sz w:val="24"/>
          <w:szCs w:val="24"/>
        </w:rPr>
        <w:t>8</w:t>
      </w:r>
      <w:r w:rsidRPr="00D6599C">
        <w:rPr>
          <w:rFonts w:asciiTheme="majorBidi" w:hAnsiTheme="majorBidi" w:cstheme="majorBidi"/>
          <w:b/>
          <w:bCs/>
          <w:sz w:val="24"/>
          <w:szCs w:val="24"/>
        </w:rPr>
        <w:t>. Derslere öğrencinin aktif bir şekilde katılımına önem verilmektedir.</w:t>
      </w:r>
    </w:p>
    <w:p w14:paraId="72DE569E" w14:textId="77777777" w:rsidR="00AA2594" w:rsidRPr="00D6599C" w:rsidRDefault="00AA2594" w:rsidP="00AA2594">
      <w:pPr>
        <w:jc w:val="both"/>
        <w:rPr>
          <w:rFonts w:asciiTheme="majorBidi" w:hAnsiTheme="majorBidi" w:cstheme="majorBidi"/>
          <w:sz w:val="24"/>
          <w:szCs w:val="24"/>
        </w:rPr>
      </w:pPr>
      <w:r w:rsidRPr="00D6599C">
        <w:rPr>
          <w:rFonts w:asciiTheme="majorBidi" w:hAnsiTheme="majorBidi" w:cstheme="majorBidi"/>
          <w:noProof/>
          <w:sz w:val="24"/>
          <w:szCs w:val="24"/>
        </w:rPr>
        <w:drawing>
          <wp:inline distT="0" distB="0" distL="0" distR="0" wp14:anchorId="45096F1B" wp14:editId="276F0ACC">
            <wp:extent cx="5486400" cy="1935480"/>
            <wp:effectExtent l="0" t="0" r="0" b="7620"/>
            <wp:docPr id="379748400"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BA569B6" w14:textId="50FE162B" w:rsidR="00AA2594" w:rsidRPr="00246E59" w:rsidRDefault="003C6611" w:rsidP="00246E59">
      <w:pPr>
        <w:jc w:val="both"/>
        <w:rPr>
          <w:rFonts w:asciiTheme="majorBidi" w:hAnsiTheme="majorBidi" w:cstheme="majorBidi"/>
          <w:sz w:val="24"/>
          <w:szCs w:val="24"/>
        </w:rPr>
      </w:pPr>
      <w:r w:rsidRPr="003C6611">
        <w:rPr>
          <w:rFonts w:asciiTheme="majorBidi" w:hAnsiTheme="majorBidi" w:cstheme="majorBidi"/>
          <w:sz w:val="24"/>
          <w:szCs w:val="24"/>
        </w:rPr>
        <w:t>Ankete katılan öğrencilerin tamamı (%100), lisansüstü programlarda öğrencilerin derse aktif bir şekilde katılımının teşvik edildiğini ifade etmiştir. Bu oranın 2024 yılında %84 düzeyinde gerçekleşmiş olması, 2025 yılı itibarıyla derslerin işlenişinde öğrenci merkezli öğretim yöntemlerinin daha etkin biçimde uygulandığını ve öğrenci katılımına verilen önemin belirgin şekilde arttığını göstermektedir.</w:t>
      </w:r>
    </w:p>
    <w:p w14:paraId="03D539DF" w14:textId="21C953D7" w:rsidR="00AA2594" w:rsidRPr="00D6599C" w:rsidRDefault="00AA2594" w:rsidP="00AA2594">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D6599C">
        <w:rPr>
          <w:rFonts w:asciiTheme="majorBidi" w:eastAsia="Times New Roman" w:hAnsiTheme="majorBidi" w:cstheme="majorBidi"/>
          <w:b/>
          <w:bCs/>
          <w:color w:val="000000"/>
          <w:kern w:val="0"/>
          <w:sz w:val="24"/>
          <w:szCs w:val="24"/>
          <w:lang w:eastAsia="tr-TR"/>
          <w14:ligatures w14:val="none"/>
        </w:rPr>
        <w:t xml:space="preserve">Soru </w:t>
      </w:r>
      <w:r w:rsidR="00246E59">
        <w:rPr>
          <w:rFonts w:asciiTheme="majorBidi" w:eastAsia="Times New Roman" w:hAnsiTheme="majorBidi" w:cstheme="majorBidi"/>
          <w:b/>
          <w:bCs/>
          <w:color w:val="000000"/>
          <w:kern w:val="0"/>
          <w:sz w:val="24"/>
          <w:szCs w:val="24"/>
          <w:lang w:eastAsia="tr-TR"/>
          <w14:ligatures w14:val="none"/>
        </w:rPr>
        <w:t>9</w:t>
      </w:r>
      <w:r w:rsidRPr="00D6599C">
        <w:rPr>
          <w:rFonts w:asciiTheme="majorBidi" w:eastAsia="Times New Roman" w:hAnsiTheme="majorBidi" w:cstheme="majorBidi"/>
          <w:b/>
          <w:bCs/>
          <w:color w:val="000000"/>
          <w:kern w:val="0"/>
          <w:sz w:val="24"/>
          <w:szCs w:val="24"/>
          <w:lang w:eastAsia="tr-TR"/>
          <w14:ligatures w14:val="none"/>
        </w:rPr>
        <w:t xml:space="preserve">. </w:t>
      </w:r>
      <w:r w:rsidRPr="00F71DAE">
        <w:rPr>
          <w:rFonts w:asciiTheme="majorBidi" w:eastAsia="Times New Roman" w:hAnsiTheme="majorBidi" w:cstheme="majorBidi"/>
          <w:b/>
          <w:bCs/>
          <w:color w:val="000000"/>
          <w:kern w:val="0"/>
          <w:sz w:val="24"/>
          <w:szCs w:val="24"/>
          <w:lang w:eastAsia="tr-TR"/>
          <w14:ligatures w14:val="none"/>
        </w:rPr>
        <w:t>Derslerde verilen ödev, proje ve çalışmalar etkinlikler öğrenmemize katkı sağlamaktadır.</w:t>
      </w:r>
    </w:p>
    <w:p w14:paraId="2619CFD1" w14:textId="77777777" w:rsidR="00AA2594" w:rsidRPr="00D6599C" w:rsidRDefault="00AA2594" w:rsidP="00AA2594">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D6599C">
        <w:rPr>
          <w:rFonts w:asciiTheme="majorBidi" w:eastAsia="Times New Roman" w:hAnsiTheme="majorBidi" w:cstheme="majorBidi"/>
          <w:b/>
          <w:bCs/>
          <w:noProof/>
          <w:color w:val="000000"/>
          <w:kern w:val="0"/>
          <w:sz w:val="24"/>
          <w:szCs w:val="24"/>
          <w:lang w:eastAsia="tr-TR"/>
        </w:rPr>
        <w:drawing>
          <wp:inline distT="0" distB="0" distL="0" distR="0" wp14:anchorId="71624A4A" wp14:editId="57D47602">
            <wp:extent cx="5486400" cy="1432560"/>
            <wp:effectExtent l="0" t="0" r="0" b="15240"/>
            <wp:docPr id="180228275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465A6B" w14:textId="77777777" w:rsidR="00AA2594" w:rsidRPr="00D6599C" w:rsidRDefault="00AA2594" w:rsidP="00AA2594">
      <w:pPr>
        <w:jc w:val="both"/>
        <w:rPr>
          <w:rFonts w:asciiTheme="majorBidi" w:hAnsiTheme="majorBidi" w:cstheme="majorBidi"/>
          <w:sz w:val="24"/>
          <w:szCs w:val="24"/>
        </w:rPr>
      </w:pPr>
    </w:p>
    <w:p w14:paraId="3862E2D8" w14:textId="28BEABED" w:rsidR="00A87E86" w:rsidRPr="00447CA9" w:rsidRDefault="00A87E86" w:rsidP="00AA2594">
      <w:pPr>
        <w:spacing w:after="0" w:line="240" w:lineRule="auto"/>
        <w:jc w:val="both"/>
        <w:rPr>
          <w:rFonts w:asciiTheme="majorBidi" w:hAnsiTheme="majorBidi" w:cstheme="majorBidi"/>
          <w:sz w:val="24"/>
          <w:szCs w:val="24"/>
        </w:rPr>
      </w:pPr>
      <w:r w:rsidRPr="00447CA9">
        <w:rPr>
          <w:rFonts w:asciiTheme="majorBidi" w:hAnsiTheme="majorBidi" w:cstheme="majorBidi"/>
          <w:sz w:val="24"/>
          <w:szCs w:val="24"/>
        </w:rPr>
        <w:t xml:space="preserve">Ankete katılan öğrencilerin tamamı (%100), lisansüstü programlarda dersler kapsamında verilen ödev, proje, uygulama çalışmaları ve etkinliklerin öğrenme süreçlerine doğrudan katkı sağladığını ifade etmiştir. Bu oranın 2024 yılında %67 düzeyinde gerçekleşmiş olması, 2025 </w:t>
      </w:r>
      <w:r w:rsidRPr="00447CA9">
        <w:rPr>
          <w:rFonts w:asciiTheme="majorBidi" w:hAnsiTheme="majorBidi" w:cstheme="majorBidi"/>
          <w:sz w:val="24"/>
          <w:szCs w:val="24"/>
        </w:rPr>
        <w:lastRenderedPageBreak/>
        <w:t>yılı itibarıyla ölçme-değerlendirme ve uygulama temelli öğrenme faaliyetlerine ilişkin öğrenci memnuniyetinde çok belirgin bir artış yaşandığını göstermektedir. Bu bulgu, Maliye Bölümünde lisansüstü eğitimde teorik bilginin uygulama ile desteklendiğini ve öğrenme çıktılarının güçlendirildiğini ortaya koymaktadır.</w:t>
      </w:r>
    </w:p>
    <w:p w14:paraId="422D57EC" w14:textId="77777777" w:rsidR="00A87E86" w:rsidRDefault="00A87E86" w:rsidP="00AA2594">
      <w:pPr>
        <w:spacing w:after="0" w:line="240" w:lineRule="auto"/>
        <w:jc w:val="both"/>
        <w:rPr>
          <w:rFonts w:asciiTheme="majorBidi" w:hAnsiTheme="majorBidi" w:cstheme="majorBidi"/>
          <w:sz w:val="24"/>
          <w:szCs w:val="24"/>
        </w:rPr>
      </w:pPr>
    </w:p>
    <w:p w14:paraId="4C53AB1B" w14:textId="29692BBB" w:rsidR="00AA2594" w:rsidRPr="00D6599C" w:rsidRDefault="00AA2594" w:rsidP="00AA2594">
      <w:pPr>
        <w:spacing w:after="0" w:line="240" w:lineRule="auto"/>
        <w:jc w:val="both"/>
        <w:rPr>
          <w:rFonts w:asciiTheme="majorBidi" w:eastAsia="Times New Roman" w:hAnsiTheme="majorBidi" w:cstheme="majorBidi"/>
          <w:color w:val="000000"/>
          <w:kern w:val="0"/>
          <w:sz w:val="24"/>
          <w:szCs w:val="24"/>
          <w:lang w:eastAsia="tr-TR"/>
          <w14:ligatures w14:val="none"/>
        </w:rPr>
      </w:pPr>
      <w:r w:rsidRPr="00D6599C">
        <w:rPr>
          <w:rFonts w:asciiTheme="majorBidi" w:eastAsia="Times New Roman" w:hAnsiTheme="majorBidi" w:cstheme="majorBidi"/>
          <w:b/>
          <w:bCs/>
          <w:color w:val="000000"/>
          <w:kern w:val="0"/>
          <w:sz w:val="24"/>
          <w:szCs w:val="24"/>
          <w:lang w:eastAsia="tr-TR"/>
          <w14:ligatures w14:val="none"/>
        </w:rPr>
        <w:t>Soru 1</w:t>
      </w:r>
      <w:r w:rsidR="00631899">
        <w:rPr>
          <w:rFonts w:asciiTheme="majorBidi" w:eastAsia="Times New Roman" w:hAnsiTheme="majorBidi" w:cstheme="majorBidi"/>
          <w:b/>
          <w:bCs/>
          <w:color w:val="000000"/>
          <w:kern w:val="0"/>
          <w:sz w:val="24"/>
          <w:szCs w:val="24"/>
          <w:lang w:eastAsia="tr-TR"/>
          <w14:ligatures w14:val="none"/>
        </w:rPr>
        <w:t>0</w:t>
      </w:r>
      <w:r w:rsidRPr="00D6599C">
        <w:rPr>
          <w:rFonts w:asciiTheme="majorBidi" w:eastAsia="Times New Roman" w:hAnsiTheme="majorBidi" w:cstheme="majorBidi"/>
          <w:b/>
          <w:bCs/>
          <w:color w:val="000000"/>
          <w:kern w:val="0"/>
          <w:sz w:val="24"/>
          <w:szCs w:val="24"/>
          <w:lang w:eastAsia="tr-TR"/>
          <w14:ligatures w14:val="none"/>
        </w:rPr>
        <w:t xml:space="preserve">. </w:t>
      </w:r>
      <w:r w:rsidRPr="008F02D6">
        <w:rPr>
          <w:rFonts w:asciiTheme="majorBidi" w:eastAsia="Times New Roman" w:hAnsiTheme="majorBidi" w:cstheme="majorBidi"/>
          <w:b/>
          <w:bCs/>
          <w:color w:val="000000"/>
          <w:kern w:val="0"/>
          <w:sz w:val="24"/>
          <w:szCs w:val="24"/>
          <w:lang w:eastAsia="tr-TR"/>
          <w14:ligatures w14:val="none"/>
        </w:rPr>
        <w:t>Aldığım eğitim akademik faaliyetlere katılımımı sağlamakta ve teşvik etmektedir</w:t>
      </w:r>
      <w:r w:rsidRPr="008F02D6">
        <w:rPr>
          <w:rFonts w:asciiTheme="majorBidi" w:eastAsia="Times New Roman" w:hAnsiTheme="majorBidi" w:cstheme="majorBidi"/>
          <w:color w:val="000000"/>
          <w:kern w:val="0"/>
          <w:sz w:val="24"/>
          <w:szCs w:val="24"/>
          <w:lang w:eastAsia="tr-TR"/>
          <w14:ligatures w14:val="none"/>
        </w:rPr>
        <w:t>.</w:t>
      </w:r>
    </w:p>
    <w:p w14:paraId="40D809BE" w14:textId="06DF690D" w:rsidR="00AA2594" w:rsidRPr="00D6599C" w:rsidRDefault="009A075F" w:rsidP="00AA2594">
      <w:pPr>
        <w:jc w:val="both"/>
        <w:rPr>
          <w:rFonts w:asciiTheme="majorBidi" w:hAnsiTheme="majorBidi" w:cstheme="majorBidi"/>
          <w:noProof/>
          <w:sz w:val="24"/>
          <w:szCs w:val="24"/>
        </w:rPr>
      </w:pPr>
      <w:r w:rsidRPr="00D6599C">
        <w:rPr>
          <w:rFonts w:asciiTheme="majorBidi" w:hAnsiTheme="majorBidi" w:cstheme="majorBidi"/>
          <w:noProof/>
          <w:sz w:val="24"/>
          <w:szCs w:val="24"/>
        </w:rPr>
        <w:drawing>
          <wp:inline distT="0" distB="0" distL="0" distR="0" wp14:anchorId="43CDDBE8" wp14:editId="5DCEF4E0">
            <wp:extent cx="5486400" cy="1173480"/>
            <wp:effectExtent l="0" t="0" r="0" b="7620"/>
            <wp:docPr id="175179226"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818295" w14:textId="1281527F" w:rsidR="00307ED4" w:rsidRPr="001E0883" w:rsidRDefault="00307ED4" w:rsidP="00B36F49">
      <w:pPr>
        <w:spacing w:after="0" w:line="240" w:lineRule="auto"/>
        <w:jc w:val="both"/>
        <w:rPr>
          <w:rFonts w:asciiTheme="majorBidi" w:hAnsiTheme="majorBidi" w:cstheme="majorBidi"/>
          <w:sz w:val="24"/>
          <w:szCs w:val="24"/>
        </w:rPr>
      </w:pPr>
      <w:r w:rsidRPr="001E0883">
        <w:rPr>
          <w:rFonts w:asciiTheme="majorBidi" w:hAnsiTheme="majorBidi" w:cstheme="majorBidi"/>
          <w:sz w:val="24"/>
          <w:szCs w:val="24"/>
        </w:rPr>
        <w:t>A</w:t>
      </w:r>
      <w:r w:rsidRPr="001E0883">
        <w:rPr>
          <w:rFonts w:asciiTheme="majorBidi" w:hAnsiTheme="majorBidi" w:cstheme="majorBidi"/>
          <w:sz w:val="24"/>
          <w:szCs w:val="24"/>
        </w:rPr>
        <w:t>nkete katılan öğrencilerin tamamı (%100), lisansüstü eğitim sürecinde aldıkları eğitimin akademik faaliyetlere katılımlarını artırmada etkili olduğunu ifade etmiştir. Bu oranın 2024 yılında %66 düzeyinde gerçekleşmiş olması, 2025 yılı itibarıyla öğrencilerin akademik üretim ve bilimsel faaliyetlere yönelme düzeyinde çok belirgin bir artış sağlandığını göstermektedir.</w:t>
      </w:r>
    </w:p>
    <w:p w14:paraId="297B7F7F" w14:textId="3FB7CF05" w:rsidR="00307ED4" w:rsidRPr="001E0883" w:rsidRDefault="00307ED4" w:rsidP="00B36F49">
      <w:pPr>
        <w:spacing w:after="0" w:line="240" w:lineRule="auto"/>
        <w:jc w:val="both"/>
        <w:rPr>
          <w:rFonts w:asciiTheme="majorBidi" w:hAnsiTheme="majorBidi" w:cstheme="majorBidi"/>
          <w:sz w:val="24"/>
          <w:szCs w:val="24"/>
        </w:rPr>
      </w:pPr>
      <w:r w:rsidRPr="001E0883">
        <w:rPr>
          <w:rFonts w:asciiTheme="majorBidi" w:hAnsiTheme="majorBidi" w:cstheme="majorBidi"/>
          <w:sz w:val="24"/>
          <w:szCs w:val="24"/>
        </w:rPr>
        <w:t xml:space="preserve">Bu olumlu gelişmede, Maliye Bölümü öğretim üyelerinin hem yüksek lisans hem de doktora öğrencilerini makale yazımı, proje geliştirme ve bilimsel yayın süreçlerine aktif biçimde teşvik etmelerinin önemli bir rolü bulunmaktadır. Nitekim hâlihazırda yüksek lisans eğitimine devam eden bir öğrencinin danışmanı </w:t>
      </w:r>
      <w:r w:rsidR="001E0883" w:rsidRPr="001E0883">
        <w:rPr>
          <w:rFonts w:asciiTheme="majorBidi" w:hAnsiTheme="majorBidi" w:cstheme="majorBidi"/>
          <w:sz w:val="24"/>
          <w:szCs w:val="24"/>
        </w:rPr>
        <w:t>ile</w:t>
      </w:r>
      <w:r w:rsidRPr="001E0883">
        <w:rPr>
          <w:rFonts w:asciiTheme="majorBidi" w:hAnsiTheme="majorBidi" w:cstheme="majorBidi"/>
          <w:sz w:val="24"/>
          <w:szCs w:val="24"/>
        </w:rPr>
        <w:t xml:space="preserve"> SSCI indeksli bir yayını bulunmakta; iki lisansüstü öğrencinin akademik makaleleri yayımlanmış</w:t>
      </w:r>
      <w:r w:rsidR="007624C2">
        <w:rPr>
          <w:rFonts w:asciiTheme="majorBidi" w:hAnsiTheme="majorBidi" w:cstheme="majorBidi"/>
          <w:sz w:val="24"/>
          <w:szCs w:val="24"/>
        </w:rPr>
        <w:t>tır</w:t>
      </w:r>
      <w:r w:rsidRPr="001E0883">
        <w:rPr>
          <w:rFonts w:asciiTheme="majorBidi" w:hAnsiTheme="majorBidi" w:cstheme="majorBidi"/>
          <w:sz w:val="24"/>
          <w:szCs w:val="24"/>
        </w:rPr>
        <w:t>. Ayrıca bir lisansüstü öğrencinin TÜBİTAK 1002 Hızlı Destek Projesi kapsamında yürüttüğü çalışması bulunmaktadır.</w:t>
      </w:r>
    </w:p>
    <w:p w14:paraId="01D6FE29" w14:textId="77777777" w:rsidR="00307ED4" w:rsidRDefault="00307ED4" w:rsidP="00B36F49">
      <w:pPr>
        <w:spacing w:after="0" w:line="240" w:lineRule="auto"/>
        <w:jc w:val="both"/>
        <w:rPr>
          <w:rFonts w:asciiTheme="majorBidi" w:hAnsiTheme="majorBidi" w:cstheme="majorBidi"/>
          <w:sz w:val="24"/>
          <w:szCs w:val="24"/>
        </w:rPr>
      </w:pPr>
      <w:r w:rsidRPr="001E0883">
        <w:rPr>
          <w:rFonts w:asciiTheme="majorBidi" w:hAnsiTheme="majorBidi" w:cstheme="majorBidi"/>
          <w:sz w:val="24"/>
          <w:szCs w:val="24"/>
        </w:rPr>
        <w:t>Bu somut çıktılar, Maliye Bölümünde lisansüstü eğitimin yalnızca teorik bilgi aktarımıyla sınırlı kalmadığını; öğrencilerin aktif olarak akademik üretim süreçlerine dâhil edildiğini ve araştırma temelli bir eğitim anlayışının benimsendiğini açıkça ortaya koymaktadır.</w:t>
      </w:r>
    </w:p>
    <w:p w14:paraId="42AB6368" w14:textId="77777777" w:rsidR="001E0883" w:rsidRPr="001E0883" w:rsidRDefault="001E0883" w:rsidP="00B36F49">
      <w:pPr>
        <w:spacing w:after="0" w:line="240" w:lineRule="auto"/>
        <w:jc w:val="both"/>
        <w:rPr>
          <w:rFonts w:asciiTheme="majorBidi" w:hAnsiTheme="majorBidi" w:cstheme="majorBidi"/>
          <w:sz w:val="24"/>
          <w:szCs w:val="24"/>
        </w:rPr>
      </w:pPr>
    </w:p>
    <w:p w14:paraId="3B6CE1C7" w14:textId="6AB1B266" w:rsidR="00AA2594" w:rsidRPr="0031121F" w:rsidRDefault="00AA2594" w:rsidP="00AA2594">
      <w:pPr>
        <w:jc w:val="both"/>
        <w:rPr>
          <w:rFonts w:asciiTheme="majorBidi" w:eastAsia="Times New Roman" w:hAnsiTheme="majorBidi" w:cstheme="majorBidi"/>
          <w:b/>
          <w:bCs/>
          <w:color w:val="000000"/>
          <w:kern w:val="0"/>
          <w:sz w:val="24"/>
          <w:szCs w:val="24"/>
          <w:lang w:eastAsia="tr-TR"/>
          <w14:ligatures w14:val="none"/>
        </w:rPr>
      </w:pPr>
      <w:r w:rsidRPr="0031121F">
        <w:rPr>
          <w:rFonts w:asciiTheme="majorBidi" w:hAnsiTheme="majorBidi" w:cstheme="majorBidi"/>
          <w:b/>
          <w:bCs/>
          <w:sz w:val="24"/>
          <w:szCs w:val="24"/>
        </w:rPr>
        <w:t>Soru 1</w:t>
      </w:r>
      <w:r w:rsidR="001E0883" w:rsidRPr="0031121F">
        <w:rPr>
          <w:rFonts w:asciiTheme="majorBidi" w:hAnsiTheme="majorBidi" w:cstheme="majorBidi"/>
          <w:b/>
          <w:bCs/>
          <w:sz w:val="24"/>
          <w:szCs w:val="24"/>
        </w:rPr>
        <w:t>1</w:t>
      </w:r>
      <w:r w:rsidRPr="0031121F">
        <w:rPr>
          <w:rFonts w:asciiTheme="majorBidi" w:hAnsiTheme="majorBidi" w:cstheme="majorBidi"/>
          <w:b/>
          <w:bCs/>
          <w:sz w:val="24"/>
          <w:szCs w:val="24"/>
        </w:rPr>
        <w:t xml:space="preserve">. </w:t>
      </w:r>
      <w:r w:rsidRPr="0031121F">
        <w:rPr>
          <w:rFonts w:asciiTheme="majorBidi" w:eastAsia="Times New Roman" w:hAnsiTheme="majorBidi" w:cstheme="majorBidi"/>
          <w:b/>
          <w:bCs/>
          <w:color w:val="000000"/>
          <w:kern w:val="0"/>
          <w:sz w:val="24"/>
          <w:szCs w:val="24"/>
          <w:lang w:eastAsia="tr-TR"/>
          <w14:ligatures w14:val="none"/>
        </w:rPr>
        <w:t>Dönem başında ölçme ve değerlendirme kriterleri öğrencilere açıklanmaktadır.</w:t>
      </w:r>
    </w:p>
    <w:p w14:paraId="5B1E50A1" w14:textId="4BF04027" w:rsidR="00AA2594" w:rsidRPr="00D6599C" w:rsidRDefault="00DD3447" w:rsidP="00AA2594">
      <w:pPr>
        <w:jc w:val="both"/>
        <w:rPr>
          <w:rFonts w:asciiTheme="majorBidi" w:hAnsiTheme="majorBidi" w:cstheme="majorBidi"/>
          <w:sz w:val="24"/>
          <w:szCs w:val="24"/>
        </w:rPr>
      </w:pPr>
      <w:r w:rsidRPr="00D6599C">
        <w:rPr>
          <w:rFonts w:asciiTheme="majorBidi" w:hAnsiTheme="majorBidi" w:cstheme="majorBidi"/>
          <w:noProof/>
          <w:sz w:val="24"/>
          <w:szCs w:val="24"/>
        </w:rPr>
        <w:drawing>
          <wp:inline distT="0" distB="0" distL="0" distR="0" wp14:anchorId="5AD9F634" wp14:editId="7D3A9976">
            <wp:extent cx="5486400" cy="1447800"/>
            <wp:effectExtent l="0" t="0" r="0" b="0"/>
            <wp:docPr id="742814883"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97B1920" w14:textId="77777777" w:rsidR="009C2110" w:rsidRPr="009C2110" w:rsidRDefault="009C2110" w:rsidP="009C2110">
      <w:pPr>
        <w:spacing w:after="0" w:line="240" w:lineRule="auto"/>
        <w:jc w:val="both"/>
        <w:rPr>
          <w:rFonts w:asciiTheme="majorBidi" w:hAnsiTheme="majorBidi" w:cstheme="majorBidi"/>
          <w:sz w:val="24"/>
          <w:szCs w:val="24"/>
        </w:rPr>
      </w:pPr>
      <w:r w:rsidRPr="009C2110">
        <w:rPr>
          <w:rFonts w:asciiTheme="majorBidi" w:hAnsiTheme="majorBidi" w:cstheme="majorBidi"/>
          <w:sz w:val="24"/>
          <w:szCs w:val="24"/>
        </w:rPr>
        <w:t>Ankete katılan öğrencilerin %84’ü lisansüstü programlarda dönem başında ölçme ve değerlendirme kriterleri hakkında kendilerine bilgi verildiğini ifade etmiştir. Bu oranın 2024 yılında %67 düzeyinde gerçekleşmiş olması, ölçme ve değerlendirme süreçlerine ilişkin şeffaflık ve bilgilendirme düzeyinde belirgin bir iyileşme sağlandığını göstermektedir.</w:t>
      </w:r>
    </w:p>
    <w:p w14:paraId="627FB837" w14:textId="77777777" w:rsidR="009C2110" w:rsidRPr="009C2110" w:rsidRDefault="009C2110" w:rsidP="009C2110">
      <w:pPr>
        <w:spacing w:after="0" w:line="240" w:lineRule="auto"/>
        <w:jc w:val="both"/>
        <w:rPr>
          <w:rFonts w:asciiTheme="majorBidi" w:hAnsiTheme="majorBidi" w:cstheme="majorBidi"/>
          <w:sz w:val="24"/>
          <w:szCs w:val="24"/>
        </w:rPr>
      </w:pPr>
    </w:p>
    <w:p w14:paraId="7C67E514" w14:textId="77777777" w:rsidR="009C2110" w:rsidRDefault="009C2110" w:rsidP="009C2110">
      <w:pPr>
        <w:spacing w:after="0" w:line="240" w:lineRule="auto"/>
        <w:jc w:val="both"/>
        <w:rPr>
          <w:rFonts w:asciiTheme="majorBidi" w:hAnsiTheme="majorBidi" w:cstheme="majorBidi"/>
          <w:sz w:val="24"/>
          <w:szCs w:val="24"/>
        </w:rPr>
      </w:pPr>
      <w:r w:rsidRPr="009C2110">
        <w:rPr>
          <w:rFonts w:asciiTheme="majorBidi" w:hAnsiTheme="majorBidi" w:cstheme="majorBidi"/>
          <w:sz w:val="24"/>
          <w:szCs w:val="24"/>
        </w:rPr>
        <w:t xml:space="preserve">Bu olumlu gelişmede, Maliye Bölümü öğretim üyelerinin derslerin ilk haftasında ölçme ve değerlendirme yöntemleri, sınav türleri, ödev ve proje ağırlıkları hakkında öğrencilere ayrıntılı bilgi vermelerinin etkili olduğu değerlendirilmektedir. Ayrıca, Maliye Yüksek Lisans ve Doktora programlarında yer alan her bir dersin ölçme ve değerlendirme esasları, Çanakkale Onsekiz Mart Üniversitesi Eğitim Kataloğunda açık ve erişilebilir biçimde yer almaktadır. Bu </w:t>
      </w:r>
      <w:r w:rsidRPr="009C2110">
        <w:rPr>
          <w:rFonts w:asciiTheme="majorBidi" w:hAnsiTheme="majorBidi" w:cstheme="majorBidi"/>
          <w:sz w:val="24"/>
          <w:szCs w:val="24"/>
        </w:rPr>
        <w:lastRenderedPageBreak/>
        <w:t>uygulamalar, lisansüstü eğitimde ölçme ve değerlendirme süreçlerinin şeffaf, öngörülebilir ve öğrenci odaklı bir şekilde yürütüldüğünü ortaya koymaktadır.</w:t>
      </w:r>
    </w:p>
    <w:p w14:paraId="12BFF053" w14:textId="765462C4" w:rsidR="00AA2594" w:rsidRPr="00D6599C" w:rsidRDefault="00AA2594" w:rsidP="009C2110">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D6599C">
        <w:rPr>
          <w:rFonts w:asciiTheme="majorBidi" w:eastAsia="Times New Roman" w:hAnsiTheme="majorBidi" w:cstheme="majorBidi"/>
          <w:b/>
          <w:bCs/>
          <w:color w:val="000000"/>
          <w:kern w:val="0"/>
          <w:sz w:val="24"/>
          <w:szCs w:val="24"/>
          <w:lang w:eastAsia="tr-TR"/>
          <w14:ligatures w14:val="none"/>
        </w:rPr>
        <w:t>Soru 1</w:t>
      </w:r>
      <w:r w:rsidR="00355395">
        <w:rPr>
          <w:rFonts w:asciiTheme="majorBidi" w:eastAsia="Times New Roman" w:hAnsiTheme="majorBidi" w:cstheme="majorBidi"/>
          <w:b/>
          <w:bCs/>
          <w:color w:val="000000"/>
          <w:kern w:val="0"/>
          <w:sz w:val="24"/>
          <w:szCs w:val="24"/>
          <w:lang w:eastAsia="tr-TR"/>
          <w14:ligatures w14:val="none"/>
        </w:rPr>
        <w:t>2</w:t>
      </w:r>
      <w:r w:rsidRPr="00D6599C">
        <w:rPr>
          <w:rFonts w:asciiTheme="majorBidi" w:eastAsia="Times New Roman" w:hAnsiTheme="majorBidi" w:cstheme="majorBidi"/>
          <w:b/>
          <w:bCs/>
          <w:color w:val="000000"/>
          <w:kern w:val="0"/>
          <w:sz w:val="24"/>
          <w:szCs w:val="24"/>
          <w:lang w:eastAsia="tr-TR"/>
          <w14:ligatures w14:val="none"/>
        </w:rPr>
        <w:t xml:space="preserve">. </w:t>
      </w:r>
      <w:r w:rsidRPr="00BB5FBC">
        <w:rPr>
          <w:rFonts w:asciiTheme="majorBidi" w:eastAsia="Times New Roman" w:hAnsiTheme="majorBidi" w:cstheme="majorBidi"/>
          <w:b/>
          <w:bCs/>
          <w:color w:val="000000"/>
          <w:kern w:val="0"/>
          <w:sz w:val="24"/>
          <w:szCs w:val="24"/>
          <w:lang w:eastAsia="tr-TR"/>
          <w14:ligatures w14:val="none"/>
        </w:rPr>
        <w:t>Ölçme ve değerlendirme sadece sınavlarla değil ödev ve proje gibi çalışmalarla da yapılmaktadır.</w:t>
      </w:r>
    </w:p>
    <w:p w14:paraId="687366F5" w14:textId="0D2B0526" w:rsidR="00AA2594" w:rsidRPr="00D6599C" w:rsidRDefault="00871FD9" w:rsidP="00AA2594">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D6599C">
        <w:rPr>
          <w:rFonts w:asciiTheme="majorBidi" w:eastAsia="Times New Roman" w:hAnsiTheme="majorBidi" w:cstheme="majorBidi"/>
          <w:b/>
          <w:bCs/>
          <w:noProof/>
          <w:color w:val="000000"/>
          <w:kern w:val="0"/>
          <w:sz w:val="24"/>
          <w:szCs w:val="24"/>
          <w:lang w:eastAsia="tr-TR"/>
        </w:rPr>
        <w:drawing>
          <wp:inline distT="0" distB="0" distL="0" distR="0" wp14:anchorId="46713049" wp14:editId="7EA70FBA">
            <wp:extent cx="5486400" cy="1744980"/>
            <wp:effectExtent l="0" t="0" r="0" b="7620"/>
            <wp:docPr id="28247951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E41B7CC" w14:textId="77777777" w:rsidR="00AA2594" w:rsidRPr="00D6599C" w:rsidRDefault="00AA2594" w:rsidP="00AA2594">
      <w:pPr>
        <w:jc w:val="both"/>
        <w:rPr>
          <w:rFonts w:asciiTheme="majorBidi" w:hAnsiTheme="majorBidi" w:cstheme="majorBidi"/>
          <w:sz w:val="24"/>
          <w:szCs w:val="24"/>
        </w:rPr>
      </w:pPr>
    </w:p>
    <w:p w14:paraId="6BB11AAF" w14:textId="77777777" w:rsidR="00670C79" w:rsidRDefault="00230132" w:rsidP="00670C79">
      <w:pPr>
        <w:pStyle w:val="NormalWeb"/>
        <w:jc w:val="both"/>
      </w:pPr>
      <w:r w:rsidRPr="00670C79">
        <w:t>Ankete katılan öğrencilerin tamamı (%100), lisansüstü programlarda öğretim elemanlarının öğrencileri değerlendirirken yalnızca sınav sonuçlarını dikkate almadıklarını; bunun yanı sıra ödev, proje, uygulama çalışmaları ve akademik makale gibi farklı ölçme ve değerlendirme araçlarını da kullandıklarını ifade etmiştir. Bu bulgu, Maliye Bölümünde ölçme ve değerlendirmenin çok boyutlu ve süreç odaklı bir yaklaşımla yürütüldüğünü göstermektedir.</w:t>
      </w:r>
    </w:p>
    <w:p w14:paraId="74E502CD" w14:textId="430771FA" w:rsidR="00230132" w:rsidRPr="00D260E4" w:rsidRDefault="00230132" w:rsidP="00670C79">
      <w:pPr>
        <w:pStyle w:val="NormalWeb"/>
        <w:jc w:val="both"/>
      </w:pPr>
      <w:r w:rsidRPr="00D260E4">
        <w:t xml:space="preserve">Bu yaklaşımın somut çıktıları da bulunmaktadır. Nitekim hâlihazırda yüksek lisans eğitimine devam eden bir öğrencinin danışmanı </w:t>
      </w:r>
      <w:r w:rsidR="00D260E4" w:rsidRPr="00D260E4">
        <w:t>ile</w:t>
      </w:r>
      <w:r w:rsidRPr="00D260E4">
        <w:t xml:space="preserve"> </w:t>
      </w:r>
      <w:r w:rsidRPr="00D260E4">
        <w:rPr>
          <w:rStyle w:val="Gl"/>
          <w:rFonts w:eastAsiaTheme="majorEastAsia"/>
          <w:b w:val="0"/>
          <w:bCs w:val="0"/>
        </w:rPr>
        <w:t>SSCI indeksli bir yayını</w:t>
      </w:r>
      <w:r w:rsidRPr="00D260E4">
        <w:t xml:space="preserve">, iki lisansüstü öğrencinin </w:t>
      </w:r>
      <w:r w:rsidRPr="00D260E4">
        <w:rPr>
          <w:rStyle w:val="Gl"/>
          <w:rFonts w:eastAsiaTheme="majorEastAsia"/>
          <w:b w:val="0"/>
          <w:bCs w:val="0"/>
        </w:rPr>
        <w:t>akademik makalesi</w:t>
      </w:r>
      <w:r w:rsidRPr="00D260E4">
        <w:t xml:space="preserve"> ve bir lisansüstü öğrencinin </w:t>
      </w:r>
      <w:r w:rsidRPr="004046D3">
        <w:rPr>
          <w:rStyle w:val="Gl"/>
          <w:rFonts w:eastAsiaTheme="majorEastAsia"/>
          <w:b w:val="0"/>
          <w:bCs w:val="0"/>
        </w:rPr>
        <w:t>TÜBİTAK 1002 Hızlı Destek Projesi</w:t>
      </w:r>
      <w:r w:rsidRPr="00D260E4">
        <w:t xml:space="preserve"> kapsamında yürüttüğü çalışması bulunmaktadır. Bu örnekler, öğrencilerin değerlendirme sürecinde akademik üretimlerinin dikkate alındığını ve lisansüstü eğitimde araştırma, yayın ve proje temelli faaliyetlerin önemli bir ölçüt olarak benimsendiğini ortaya koymaktadır.</w:t>
      </w:r>
    </w:p>
    <w:p w14:paraId="465F7A0F" w14:textId="3F01648A" w:rsidR="00AA2594" w:rsidRPr="00D6599C" w:rsidRDefault="00AA2594" w:rsidP="00AA2594">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D6599C">
        <w:rPr>
          <w:rFonts w:asciiTheme="majorBidi" w:eastAsia="Times New Roman" w:hAnsiTheme="majorBidi" w:cstheme="majorBidi"/>
          <w:b/>
          <w:bCs/>
          <w:color w:val="000000"/>
          <w:kern w:val="0"/>
          <w:sz w:val="24"/>
          <w:szCs w:val="24"/>
          <w:lang w:eastAsia="tr-TR"/>
          <w14:ligatures w14:val="none"/>
        </w:rPr>
        <w:t>Soru 1</w:t>
      </w:r>
      <w:r w:rsidR="004046D3">
        <w:rPr>
          <w:rFonts w:asciiTheme="majorBidi" w:eastAsia="Times New Roman" w:hAnsiTheme="majorBidi" w:cstheme="majorBidi"/>
          <w:b/>
          <w:bCs/>
          <w:color w:val="000000"/>
          <w:kern w:val="0"/>
          <w:sz w:val="24"/>
          <w:szCs w:val="24"/>
          <w:lang w:eastAsia="tr-TR"/>
          <w14:ligatures w14:val="none"/>
        </w:rPr>
        <w:t>3</w:t>
      </w:r>
      <w:r w:rsidRPr="00D6599C">
        <w:rPr>
          <w:rFonts w:asciiTheme="majorBidi" w:eastAsia="Times New Roman" w:hAnsiTheme="majorBidi" w:cstheme="majorBidi"/>
          <w:b/>
          <w:bCs/>
          <w:color w:val="000000"/>
          <w:kern w:val="0"/>
          <w:sz w:val="24"/>
          <w:szCs w:val="24"/>
          <w:lang w:eastAsia="tr-TR"/>
          <w14:ligatures w14:val="none"/>
        </w:rPr>
        <w:t xml:space="preserve">. </w:t>
      </w:r>
      <w:r w:rsidRPr="005B2137">
        <w:rPr>
          <w:rFonts w:asciiTheme="majorBidi" w:eastAsia="Times New Roman" w:hAnsiTheme="majorBidi" w:cstheme="majorBidi"/>
          <w:b/>
          <w:bCs/>
          <w:color w:val="000000"/>
          <w:kern w:val="0"/>
          <w:sz w:val="24"/>
          <w:szCs w:val="24"/>
          <w:lang w:eastAsia="tr-TR"/>
          <w14:ligatures w14:val="none"/>
        </w:rPr>
        <w:t>Bölüm öğretim elemanları derslerin işlenişi sırasında ve sınavlarda adil ve objektif davranmaktadır.</w:t>
      </w:r>
    </w:p>
    <w:p w14:paraId="57DA6957" w14:textId="77777777" w:rsidR="00AA2594" w:rsidRPr="00D6599C" w:rsidRDefault="00AA2594" w:rsidP="00AA2594">
      <w:pPr>
        <w:jc w:val="both"/>
        <w:rPr>
          <w:rFonts w:asciiTheme="majorBidi" w:hAnsiTheme="majorBidi" w:cstheme="majorBidi"/>
          <w:sz w:val="24"/>
          <w:szCs w:val="24"/>
        </w:rPr>
      </w:pPr>
    </w:p>
    <w:p w14:paraId="71080AEA" w14:textId="502B2702" w:rsidR="00AA2594" w:rsidRPr="00D6599C" w:rsidRDefault="00410070" w:rsidP="00AA2594">
      <w:pPr>
        <w:jc w:val="both"/>
        <w:rPr>
          <w:rFonts w:asciiTheme="majorBidi" w:hAnsiTheme="majorBidi" w:cstheme="majorBidi"/>
          <w:noProof/>
          <w:sz w:val="24"/>
          <w:szCs w:val="24"/>
        </w:rPr>
      </w:pPr>
      <w:r w:rsidRPr="00D6599C">
        <w:rPr>
          <w:rFonts w:asciiTheme="majorBidi" w:hAnsiTheme="majorBidi" w:cstheme="majorBidi"/>
          <w:noProof/>
          <w:sz w:val="24"/>
          <w:szCs w:val="24"/>
        </w:rPr>
        <w:drawing>
          <wp:inline distT="0" distB="0" distL="0" distR="0" wp14:anchorId="22845371" wp14:editId="7C46E139">
            <wp:extent cx="5486400" cy="1379220"/>
            <wp:effectExtent l="0" t="0" r="0" b="11430"/>
            <wp:docPr id="2017579673"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D509238" w14:textId="70E6A326" w:rsidR="00393773" w:rsidRDefault="00393773" w:rsidP="00AA2594">
      <w:pPr>
        <w:spacing w:after="0" w:line="240" w:lineRule="auto"/>
        <w:jc w:val="both"/>
        <w:rPr>
          <w:rFonts w:asciiTheme="majorBidi" w:hAnsiTheme="majorBidi" w:cstheme="majorBidi"/>
          <w:sz w:val="24"/>
          <w:szCs w:val="24"/>
        </w:rPr>
      </w:pPr>
      <w:r w:rsidRPr="00393773">
        <w:rPr>
          <w:rFonts w:asciiTheme="majorBidi" w:hAnsiTheme="majorBidi" w:cstheme="majorBidi"/>
          <w:sz w:val="24"/>
          <w:szCs w:val="24"/>
        </w:rPr>
        <w:t>Ankete katılan öğrencilerin tamamı (%100), lisansüstü programlarda derslerin işlenişi ve sınav sonuçlarının değerlendirilmesi sürecinde öğretim üyelerinin adil ve tarafsız davrandığını ifade etmiştir. Bu bulgu, Maliye Bölümünde eğitim-öğretim ve ölçme-değerlendirme süreçlerinin şeffaflık, nesnellik ve hakkaniyet ilkeleri doğrultusunda yürütüldüğünü göstermekte; öğrenciler ile öğretim üyeleri arasında güçlü bir güven ilişkisi bulunduğuna işaret etmektedir.</w:t>
      </w:r>
    </w:p>
    <w:p w14:paraId="3919B1BD" w14:textId="77777777" w:rsidR="00393773" w:rsidRDefault="00393773" w:rsidP="00AA2594">
      <w:pPr>
        <w:spacing w:after="0" w:line="240" w:lineRule="auto"/>
        <w:jc w:val="both"/>
        <w:rPr>
          <w:rFonts w:asciiTheme="majorBidi" w:hAnsiTheme="majorBidi" w:cstheme="majorBidi"/>
          <w:sz w:val="24"/>
          <w:szCs w:val="24"/>
        </w:rPr>
      </w:pPr>
    </w:p>
    <w:p w14:paraId="728708E2" w14:textId="77777777" w:rsidR="00393773" w:rsidRDefault="00393773" w:rsidP="00AA2594">
      <w:pPr>
        <w:spacing w:after="0" w:line="240" w:lineRule="auto"/>
        <w:jc w:val="both"/>
        <w:rPr>
          <w:rFonts w:asciiTheme="majorBidi" w:eastAsia="Times New Roman" w:hAnsiTheme="majorBidi" w:cstheme="majorBidi"/>
          <w:b/>
          <w:bCs/>
          <w:color w:val="000000"/>
          <w:kern w:val="0"/>
          <w:sz w:val="24"/>
          <w:szCs w:val="24"/>
          <w:lang w:eastAsia="tr-TR"/>
          <w14:ligatures w14:val="none"/>
        </w:rPr>
      </w:pPr>
    </w:p>
    <w:p w14:paraId="03C15E5E" w14:textId="77777777" w:rsidR="00393773" w:rsidRDefault="00393773" w:rsidP="00AA2594">
      <w:pPr>
        <w:spacing w:after="0" w:line="240" w:lineRule="auto"/>
        <w:jc w:val="both"/>
        <w:rPr>
          <w:rFonts w:asciiTheme="majorBidi" w:eastAsia="Times New Roman" w:hAnsiTheme="majorBidi" w:cstheme="majorBidi"/>
          <w:b/>
          <w:bCs/>
          <w:color w:val="000000"/>
          <w:kern w:val="0"/>
          <w:sz w:val="24"/>
          <w:szCs w:val="24"/>
          <w:lang w:eastAsia="tr-TR"/>
          <w14:ligatures w14:val="none"/>
        </w:rPr>
      </w:pPr>
    </w:p>
    <w:p w14:paraId="446D449E" w14:textId="77777777" w:rsidR="00393773" w:rsidRDefault="00393773" w:rsidP="00AA2594">
      <w:pPr>
        <w:spacing w:after="0" w:line="240" w:lineRule="auto"/>
        <w:jc w:val="both"/>
        <w:rPr>
          <w:rFonts w:asciiTheme="majorBidi" w:eastAsia="Times New Roman" w:hAnsiTheme="majorBidi" w:cstheme="majorBidi"/>
          <w:b/>
          <w:bCs/>
          <w:color w:val="000000"/>
          <w:kern w:val="0"/>
          <w:sz w:val="24"/>
          <w:szCs w:val="24"/>
          <w:lang w:eastAsia="tr-TR"/>
          <w14:ligatures w14:val="none"/>
        </w:rPr>
      </w:pPr>
    </w:p>
    <w:p w14:paraId="4180FED9" w14:textId="035DD09B" w:rsidR="00AA2594" w:rsidRPr="00D6599C" w:rsidRDefault="00AA2594" w:rsidP="00AA2594">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D6599C">
        <w:rPr>
          <w:rFonts w:asciiTheme="majorBidi" w:eastAsia="Times New Roman" w:hAnsiTheme="majorBidi" w:cstheme="majorBidi"/>
          <w:b/>
          <w:bCs/>
          <w:color w:val="000000"/>
          <w:kern w:val="0"/>
          <w:sz w:val="24"/>
          <w:szCs w:val="24"/>
          <w:lang w:eastAsia="tr-TR"/>
          <w14:ligatures w14:val="none"/>
        </w:rPr>
        <w:lastRenderedPageBreak/>
        <w:t>Soru 1</w:t>
      </w:r>
      <w:r w:rsidR="00393773">
        <w:rPr>
          <w:rFonts w:asciiTheme="majorBidi" w:eastAsia="Times New Roman" w:hAnsiTheme="majorBidi" w:cstheme="majorBidi"/>
          <w:b/>
          <w:bCs/>
          <w:color w:val="000000"/>
          <w:kern w:val="0"/>
          <w:sz w:val="24"/>
          <w:szCs w:val="24"/>
          <w:lang w:eastAsia="tr-TR"/>
          <w14:ligatures w14:val="none"/>
        </w:rPr>
        <w:t>4</w:t>
      </w:r>
      <w:r w:rsidRPr="00D6599C">
        <w:rPr>
          <w:rFonts w:asciiTheme="majorBidi" w:eastAsia="Times New Roman" w:hAnsiTheme="majorBidi" w:cstheme="majorBidi"/>
          <w:b/>
          <w:bCs/>
          <w:color w:val="000000"/>
          <w:kern w:val="0"/>
          <w:sz w:val="24"/>
          <w:szCs w:val="24"/>
          <w:lang w:eastAsia="tr-TR"/>
          <w14:ligatures w14:val="none"/>
        </w:rPr>
        <w:t xml:space="preserve">. </w:t>
      </w:r>
      <w:r w:rsidRPr="00531E8F">
        <w:rPr>
          <w:rFonts w:asciiTheme="majorBidi" w:eastAsia="Times New Roman" w:hAnsiTheme="majorBidi" w:cstheme="majorBidi"/>
          <w:b/>
          <w:bCs/>
          <w:color w:val="000000"/>
          <w:kern w:val="0"/>
          <w:sz w:val="24"/>
          <w:szCs w:val="24"/>
          <w:lang w:eastAsia="tr-TR"/>
          <w14:ligatures w14:val="none"/>
        </w:rPr>
        <w:t>Bölüm öğretim elemanları kendi alanlarında yetkindir.</w:t>
      </w:r>
    </w:p>
    <w:p w14:paraId="0CBDAC64" w14:textId="30887126" w:rsidR="00AA2594" w:rsidRPr="00D6599C" w:rsidRDefault="00DD65DE" w:rsidP="00AA2594">
      <w:pPr>
        <w:spacing w:after="0" w:line="240" w:lineRule="auto"/>
        <w:jc w:val="both"/>
        <w:rPr>
          <w:rFonts w:asciiTheme="majorBidi" w:eastAsia="Times New Roman" w:hAnsiTheme="majorBidi" w:cstheme="majorBidi"/>
          <w:color w:val="000000"/>
          <w:kern w:val="0"/>
          <w:sz w:val="24"/>
          <w:szCs w:val="24"/>
          <w:lang w:eastAsia="tr-TR"/>
          <w14:ligatures w14:val="none"/>
        </w:rPr>
      </w:pPr>
      <w:r w:rsidRPr="00D6599C">
        <w:rPr>
          <w:rFonts w:asciiTheme="majorBidi" w:eastAsia="Times New Roman" w:hAnsiTheme="majorBidi" w:cstheme="majorBidi"/>
          <w:noProof/>
          <w:color w:val="000000"/>
          <w:kern w:val="0"/>
          <w:sz w:val="24"/>
          <w:szCs w:val="24"/>
          <w:lang w:eastAsia="tr-TR"/>
        </w:rPr>
        <w:drawing>
          <wp:inline distT="0" distB="0" distL="0" distR="0" wp14:anchorId="7D69853C" wp14:editId="4117E007">
            <wp:extent cx="5486400" cy="1295400"/>
            <wp:effectExtent l="0" t="0" r="0" b="0"/>
            <wp:docPr id="1985115026"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8139281" w14:textId="7648DF42" w:rsidR="001C0D21" w:rsidRPr="001C0D21" w:rsidRDefault="001C0D21" w:rsidP="001C0D21">
      <w:pPr>
        <w:pStyle w:val="NormalWeb"/>
        <w:jc w:val="both"/>
      </w:pPr>
      <w:r w:rsidRPr="001C0D21">
        <w:t>Ankete katılan öğrencilerin tamamı (%100), lisansüstü programlarda görev yapan öğretim üyelerinin alanlarında yetkin olduklarını ifade etmiştir. Bu oranın 2024 yılında %83 düzeyinde gerçekleşmiş olması, 2025 yılı itibarıyla öğretim elemanlarının akademik yeterliliğine ilişkin öğrenci algısında çok belirgin bir iyileşme sağlandığını göstermektedir.</w:t>
      </w:r>
    </w:p>
    <w:p w14:paraId="4F92E470" w14:textId="7ABE7821" w:rsidR="001C0D21" w:rsidRPr="001C0D21" w:rsidRDefault="001C0D21" w:rsidP="001C0D21">
      <w:pPr>
        <w:pStyle w:val="NormalWeb"/>
        <w:jc w:val="both"/>
      </w:pPr>
      <w:r w:rsidRPr="001C0D21">
        <w:t>Bu yüksek memnuniyet düzeyi, Maliye Bölümünün akademik kadrosunun niteliğiyle doğrudan ilişkilidir. Nitekim bölümün öğretim kadrosu, yüksek lisans ve doktora eğitimlerini Türkiye’nin önde gelen üniversitelerinde tamamlamış; bugüne kadar 450’nin üzerinde ulusal ve uluslararası bilimsel yayın üretmiş ve 35’ten fazla TÜBİTAK, AB ve BAP projesinde görev almış alanında uzman akademisyenlerden oluşmaktadır. Bu birikim, lisansüstü eğitimde sunulan akademik içeriğin bilimsel derinliğini ve güncelliğini güvence altına almakta; öğrencilerin nitelikli bir akademik ortamda eğitim almalarına önemli katkı sağlamaktadır.</w:t>
      </w:r>
    </w:p>
    <w:p w14:paraId="6FF66EA8" w14:textId="4B9DA083" w:rsidR="00AA2594" w:rsidRPr="00D6599C" w:rsidRDefault="00AA2594" w:rsidP="001C0D21">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D6599C">
        <w:rPr>
          <w:rFonts w:asciiTheme="majorBidi" w:eastAsia="Times New Roman" w:hAnsiTheme="majorBidi" w:cstheme="majorBidi"/>
          <w:b/>
          <w:bCs/>
          <w:color w:val="000000"/>
          <w:kern w:val="0"/>
          <w:sz w:val="24"/>
          <w:szCs w:val="24"/>
          <w:lang w:eastAsia="tr-TR"/>
          <w14:ligatures w14:val="none"/>
        </w:rPr>
        <w:t>Soru 1</w:t>
      </w:r>
      <w:r w:rsidR="00C56B94">
        <w:rPr>
          <w:rFonts w:asciiTheme="majorBidi" w:eastAsia="Times New Roman" w:hAnsiTheme="majorBidi" w:cstheme="majorBidi"/>
          <w:b/>
          <w:bCs/>
          <w:color w:val="000000"/>
          <w:kern w:val="0"/>
          <w:sz w:val="24"/>
          <w:szCs w:val="24"/>
          <w:lang w:eastAsia="tr-TR"/>
          <w14:ligatures w14:val="none"/>
        </w:rPr>
        <w:t>5</w:t>
      </w:r>
      <w:r w:rsidRPr="00D6599C">
        <w:rPr>
          <w:rFonts w:asciiTheme="majorBidi" w:eastAsia="Times New Roman" w:hAnsiTheme="majorBidi" w:cstheme="majorBidi"/>
          <w:b/>
          <w:bCs/>
          <w:color w:val="000000"/>
          <w:kern w:val="0"/>
          <w:sz w:val="24"/>
          <w:szCs w:val="24"/>
          <w:lang w:eastAsia="tr-TR"/>
          <w14:ligatures w14:val="none"/>
        </w:rPr>
        <w:t xml:space="preserve"> </w:t>
      </w:r>
      <w:r w:rsidRPr="00873A0F">
        <w:rPr>
          <w:rFonts w:asciiTheme="majorBidi" w:eastAsia="Times New Roman" w:hAnsiTheme="majorBidi" w:cstheme="majorBidi"/>
          <w:b/>
          <w:bCs/>
          <w:color w:val="000000"/>
          <w:kern w:val="0"/>
          <w:sz w:val="24"/>
          <w:szCs w:val="24"/>
          <w:lang w:eastAsia="tr-TR"/>
          <w14:ligatures w14:val="none"/>
        </w:rPr>
        <w:t>Bölüm öğretim elemanları bilgiye ulaşma, bilgi üretme ve değerlendirme yeteneğimi geliştirmemde yol göstericidir.</w:t>
      </w:r>
    </w:p>
    <w:p w14:paraId="5C0017D8" w14:textId="54BAFA2E" w:rsidR="00AA2594" w:rsidRPr="00D6599C" w:rsidRDefault="00F44BC7" w:rsidP="00AA2594">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D6599C">
        <w:rPr>
          <w:rFonts w:asciiTheme="majorBidi" w:eastAsia="Times New Roman" w:hAnsiTheme="majorBidi" w:cstheme="majorBidi"/>
          <w:b/>
          <w:bCs/>
          <w:noProof/>
          <w:color w:val="000000"/>
          <w:kern w:val="0"/>
          <w:sz w:val="24"/>
          <w:szCs w:val="24"/>
          <w:lang w:eastAsia="tr-TR"/>
        </w:rPr>
        <w:drawing>
          <wp:inline distT="0" distB="0" distL="0" distR="0" wp14:anchorId="241C8ADC" wp14:editId="17CA70AD">
            <wp:extent cx="5486400" cy="1005840"/>
            <wp:effectExtent l="0" t="0" r="0" b="3810"/>
            <wp:docPr id="598790198"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A9F9A34" w14:textId="77777777" w:rsidR="00AA2594" w:rsidRPr="00D6599C" w:rsidRDefault="00AA2594" w:rsidP="00AA2594">
      <w:pPr>
        <w:jc w:val="both"/>
        <w:rPr>
          <w:rFonts w:asciiTheme="majorBidi" w:hAnsiTheme="majorBidi" w:cstheme="majorBidi"/>
          <w:sz w:val="24"/>
          <w:szCs w:val="24"/>
        </w:rPr>
      </w:pPr>
    </w:p>
    <w:p w14:paraId="6E1DD65B" w14:textId="77777777" w:rsidR="00D90161" w:rsidRPr="00687DB3" w:rsidRDefault="00D90161" w:rsidP="00D90161">
      <w:pPr>
        <w:jc w:val="both"/>
        <w:rPr>
          <w:rFonts w:asciiTheme="majorBidi" w:hAnsiTheme="majorBidi" w:cstheme="majorBidi"/>
          <w:sz w:val="24"/>
          <w:szCs w:val="24"/>
        </w:rPr>
      </w:pPr>
      <w:r w:rsidRPr="00D90161">
        <w:rPr>
          <w:rFonts w:asciiTheme="majorBidi" w:hAnsiTheme="majorBidi" w:cstheme="majorBidi"/>
          <w:sz w:val="24"/>
          <w:szCs w:val="24"/>
        </w:rPr>
        <w:t xml:space="preserve">Ankete katılan öğrencilerin tamamı (%100), bilgiye erişme, bilgi üretme ve üretilen bilgiyi eleştirel biçimde değerlendirme süreçlerinde öğretim elemanlarının önemli ve belirleyici bir rol oynadığını ifade etmiştir. Bu oranın 2024 yılında %66 düzeyinde gerçekleşmiş olması, 2025 yılı itibarıyla öğretim elemanlarının akademik rehberliğine ilişkin öğrenci algısında çok belirgin </w:t>
      </w:r>
      <w:r w:rsidRPr="00687DB3">
        <w:rPr>
          <w:rFonts w:asciiTheme="majorBidi" w:hAnsiTheme="majorBidi" w:cstheme="majorBidi"/>
          <w:sz w:val="24"/>
          <w:szCs w:val="24"/>
        </w:rPr>
        <w:t>bir iyileşme yaşandığını göstermektedir.</w:t>
      </w:r>
    </w:p>
    <w:p w14:paraId="09B55606" w14:textId="3E56E08F" w:rsidR="00D90161" w:rsidRPr="00687DB3" w:rsidRDefault="00D90161" w:rsidP="00D90161">
      <w:pPr>
        <w:jc w:val="both"/>
        <w:rPr>
          <w:rFonts w:asciiTheme="majorBidi" w:hAnsiTheme="majorBidi" w:cstheme="majorBidi"/>
          <w:sz w:val="24"/>
          <w:szCs w:val="24"/>
        </w:rPr>
      </w:pPr>
      <w:r w:rsidRPr="00687DB3">
        <w:rPr>
          <w:rFonts w:asciiTheme="majorBidi" w:hAnsiTheme="majorBidi" w:cstheme="majorBidi"/>
          <w:sz w:val="24"/>
          <w:szCs w:val="24"/>
        </w:rPr>
        <w:t xml:space="preserve">Bu olumlu değerlendirmenin somut akademik çıktılarla da desteklendiği görülmektedir. Nitekim Maliye Bölümünde lisansüstü eğitimine devam eden öğrencilerden birinin danışmanı </w:t>
      </w:r>
      <w:r w:rsidR="00687DB3" w:rsidRPr="00687DB3">
        <w:rPr>
          <w:rFonts w:asciiTheme="majorBidi" w:hAnsiTheme="majorBidi" w:cstheme="majorBidi"/>
          <w:sz w:val="24"/>
          <w:szCs w:val="24"/>
        </w:rPr>
        <w:t>ile</w:t>
      </w:r>
      <w:r w:rsidRPr="00687DB3">
        <w:rPr>
          <w:rFonts w:asciiTheme="majorBidi" w:hAnsiTheme="majorBidi" w:cstheme="majorBidi"/>
          <w:sz w:val="24"/>
          <w:szCs w:val="24"/>
        </w:rPr>
        <w:t xml:space="preserve"> SSCI indeksli bir makale yayımlamış olması, iki öğrencinin akademik makale çalışmaları ve bir öğrencinin TÜBİTAK 1002 Hızlı Destek Projesi kapsamında yürüttüğü araştırma, öğretim elemanlarının öğrencileri bilgi üretim süreçlerine aktif biçimde dâhil ettiklerini göstermektedir. Bu örnekler, öğretim üyelerinin yalnızca bilgi aktaran değil, aynı zamanda öğrencileri araştırmaya, sorgulamaya ve bilimsel üretime yönlendiren etkin bir rehber rolü üstlendiklerini ortaya koymaktadır.</w:t>
      </w:r>
    </w:p>
    <w:p w14:paraId="6B6CB2A9" w14:textId="77777777" w:rsidR="00D90161" w:rsidRDefault="00D90161" w:rsidP="00AA2594">
      <w:pPr>
        <w:jc w:val="both"/>
        <w:rPr>
          <w:rFonts w:asciiTheme="majorBidi" w:hAnsiTheme="majorBidi" w:cstheme="majorBidi"/>
          <w:sz w:val="24"/>
          <w:szCs w:val="24"/>
        </w:rPr>
      </w:pPr>
    </w:p>
    <w:p w14:paraId="34A0570E" w14:textId="77777777" w:rsidR="00687DB3" w:rsidRDefault="00687DB3" w:rsidP="00AA2594">
      <w:pPr>
        <w:jc w:val="both"/>
        <w:rPr>
          <w:rFonts w:asciiTheme="majorBidi" w:hAnsiTheme="majorBidi" w:cstheme="majorBidi"/>
          <w:sz w:val="24"/>
          <w:szCs w:val="24"/>
        </w:rPr>
      </w:pPr>
    </w:p>
    <w:p w14:paraId="111F96D8" w14:textId="44BB8B2A" w:rsidR="00AA2594" w:rsidRPr="00D6599C" w:rsidRDefault="00AA2594" w:rsidP="00AA2594">
      <w:pPr>
        <w:jc w:val="both"/>
        <w:rPr>
          <w:rFonts w:asciiTheme="majorBidi" w:eastAsia="Times New Roman" w:hAnsiTheme="majorBidi" w:cstheme="majorBidi"/>
          <w:b/>
          <w:bCs/>
          <w:color w:val="000000"/>
          <w:kern w:val="0"/>
          <w:sz w:val="24"/>
          <w:szCs w:val="24"/>
          <w:lang w:eastAsia="tr-TR"/>
          <w14:ligatures w14:val="none"/>
        </w:rPr>
      </w:pPr>
      <w:r w:rsidRPr="00D6599C">
        <w:rPr>
          <w:rFonts w:asciiTheme="majorBidi" w:hAnsiTheme="majorBidi" w:cstheme="majorBidi"/>
          <w:b/>
          <w:bCs/>
          <w:sz w:val="24"/>
          <w:szCs w:val="24"/>
        </w:rPr>
        <w:lastRenderedPageBreak/>
        <w:t>Soru 1</w:t>
      </w:r>
      <w:r w:rsidR="00687DB3">
        <w:rPr>
          <w:rFonts w:asciiTheme="majorBidi" w:hAnsiTheme="majorBidi" w:cstheme="majorBidi"/>
          <w:b/>
          <w:bCs/>
          <w:sz w:val="24"/>
          <w:szCs w:val="24"/>
        </w:rPr>
        <w:t>6</w:t>
      </w:r>
      <w:r w:rsidRPr="00D6599C">
        <w:rPr>
          <w:rFonts w:asciiTheme="majorBidi" w:hAnsiTheme="majorBidi" w:cstheme="majorBidi"/>
          <w:b/>
          <w:bCs/>
          <w:sz w:val="24"/>
          <w:szCs w:val="24"/>
        </w:rPr>
        <w:t xml:space="preserve">. </w:t>
      </w:r>
      <w:r w:rsidRPr="00D6599C">
        <w:rPr>
          <w:rFonts w:asciiTheme="majorBidi" w:eastAsia="Times New Roman" w:hAnsiTheme="majorBidi" w:cstheme="majorBidi"/>
          <w:b/>
          <w:bCs/>
          <w:color w:val="000000"/>
          <w:kern w:val="0"/>
          <w:sz w:val="24"/>
          <w:szCs w:val="24"/>
          <w:lang w:eastAsia="tr-TR"/>
          <w14:ligatures w14:val="none"/>
        </w:rPr>
        <w:t>Bölüm öğretim elemanları öğrencilerin sorunlarına ve önerilerine duyarlıdır.</w:t>
      </w:r>
    </w:p>
    <w:p w14:paraId="03EAA6CD" w14:textId="77777777" w:rsidR="00AA2594" w:rsidRPr="00D6599C" w:rsidRDefault="00AA2594" w:rsidP="00AA2594">
      <w:pPr>
        <w:jc w:val="both"/>
        <w:rPr>
          <w:rFonts w:asciiTheme="majorBidi" w:hAnsiTheme="majorBidi" w:cstheme="majorBidi"/>
          <w:noProof/>
          <w:sz w:val="24"/>
          <w:szCs w:val="24"/>
        </w:rPr>
      </w:pPr>
      <w:r w:rsidRPr="00D6599C">
        <w:rPr>
          <w:rFonts w:asciiTheme="majorBidi" w:hAnsiTheme="majorBidi" w:cstheme="majorBidi"/>
          <w:noProof/>
          <w:sz w:val="24"/>
          <w:szCs w:val="24"/>
        </w:rPr>
        <w:drawing>
          <wp:inline distT="0" distB="0" distL="0" distR="0" wp14:anchorId="0798A315" wp14:editId="5FDC3890">
            <wp:extent cx="5486400" cy="1074420"/>
            <wp:effectExtent l="0" t="0" r="0" b="11430"/>
            <wp:docPr id="3745491"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063634B" w14:textId="3EE27495" w:rsidR="003952A5" w:rsidRPr="00D6599C" w:rsidRDefault="003952A5" w:rsidP="00773623">
      <w:pPr>
        <w:jc w:val="both"/>
        <w:rPr>
          <w:rFonts w:asciiTheme="majorBidi" w:hAnsiTheme="majorBidi" w:cstheme="majorBidi"/>
          <w:sz w:val="24"/>
          <w:szCs w:val="24"/>
        </w:rPr>
      </w:pPr>
      <w:r w:rsidRPr="003952A5">
        <w:rPr>
          <w:rFonts w:asciiTheme="majorBidi" w:hAnsiTheme="majorBidi" w:cstheme="majorBidi"/>
          <w:sz w:val="24"/>
          <w:szCs w:val="24"/>
        </w:rPr>
        <w:t>Ankete katılan öğrencilerin tamamı (%100), lisansüstü eğitim sürecinde öğretim üyelerinin öğrencilere karşı duyarlı, ilgili ve destekleyici bir tutum sergilediklerini ifade etmiştir. Bu bulgu, Maliye Bölümünde öğrenci odaklı bir eğitim anlayışının benimsendiğini ve öğretim üyeleri ile öğrenciler arasında güçlü bir iletişim ve güven ortamının bulunduğunu göstermektedir.</w:t>
      </w:r>
    </w:p>
    <w:p w14:paraId="16B76489" w14:textId="50119539" w:rsidR="00AA2594" w:rsidRPr="00D6599C" w:rsidRDefault="00AA2594" w:rsidP="00AA2594">
      <w:pPr>
        <w:jc w:val="both"/>
        <w:rPr>
          <w:rFonts w:asciiTheme="majorBidi" w:eastAsia="Times New Roman" w:hAnsiTheme="majorBidi" w:cstheme="majorBidi"/>
          <w:b/>
          <w:bCs/>
          <w:color w:val="000000"/>
          <w:kern w:val="0"/>
          <w:sz w:val="24"/>
          <w:szCs w:val="24"/>
          <w:lang w:eastAsia="tr-TR"/>
          <w14:ligatures w14:val="none"/>
        </w:rPr>
      </w:pPr>
      <w:r w:rsidRPr="00D6599C">
        <w:rPr>
          <w:rFonts w:asciiTheme="majorBidi" w:eastAsia="Times New Roman" w:hAnsiTheme="majorBidi" w:cstheme="majorBidi"/>
          <w:b/>
          <w:bCs/>
          <w:color w:val="000000"/>
          <w:kern w:val="0"/>
          <w:sz w:val="24"/>
          <w:szCs w:val="24"/>
          <w:lang w:eastAsia="tr-TR"/>
          <w14:ligatures w14:val="none"/>
        </w:rPr>
        <w:t>Soru 1</w:t>
      </w:r>
      <w:r w:rsidR="00773623">
        <w:rPr>
          <w:rFonts w:asciiTheme="majorBidi" w:eastAsia="Times New Roman" w:hAnsiTheme="majorBidi" w:cstheme="majorBidi"/>
          <w:b/>
          <w:bCs/>
          <w:color w:val="000000"/>
          <w:kern w:val="0"/>
          <w:sz w:val="24"/>
          <w:szCs w:val="24"/>
          <w:lang w:eastAsia="tr-TR"/>
          <w14:ligatures w14:val="none"/>
        </w:rPr>
        <w:t>7</w:t>
      </w:r>
      <w:r w:rsidRPr="00D6599C">
        <w:rPr>
          <w:rFonts w:asciiTheme="majorBidi" w:eastAsia="Times New Roman" w:hAnsiTheme="majorBidi" w:cstheme="majorBidi"/>
          <w:b/>
          <w:bCs/>
          <w:color w:val="000000"/>
          <w:kern w:val="0"/>
          <w:sz w:val="24"/>
          <w:szCs w:val="24"/>
          <w:lang w:eastAsia="tr-TR"/>
          <w14:ligatures w14:val="none"/>
        </w:rPr>
        <w:t>. Öğretim elemanlarına gerektiğinde pek çok konuda danışabiliyorum.</w:t>
      </w:r>
    </w:p>
    <w:p w14:paraId="1498A92C" w14:textId="445DD7E9" w:rsidR="00AA2594" w:rsidRPr="00D6599C" w:rsidRDefault="00235E94" w:rsidP="00AA2594">
      <w:pPr>
        <w:jc w:val="both"/>
        <w:rPr>
          <w:rFonts w:asciiTheme="majorBidi" w:eastAsia="Times New Roman" w:hAnsiTheme="majorBidi" w:cstheme="majorBidi"/>
          <w:color w:val="000000"/>
          <w:kern w:val="0"/>
          <w:sz w:val="24"/>
          <w:szCs w:val="24"/>
          <w:lang w:eastAsia="tr-TR"/>
          <w14:ligatures w14:val="none"/>
        </w:rPr>
      </w:pPr>
      <w:r w:rsidRPr="00D6599C">
        <w:rPr>
          <w:rFonts w:asciiTheme="majorBidi" w:eastAsia="Times New Roman" w:hAnsiTheme="majorBidi" w:cstheme="majorBidi"/>
          <w:noProof/>
          <w:color w:val="000000"/>
          <w:kern w:val="0"/>
          <w:sz w:val="24"/>
          <w:szCs w:val="24"/>
          <w:lang w:eastAsia="tr-TR"/>
        </w:rPr>
        <w:drawing>
          <wp:inline distT="0" distB="0" distL="0" distR="0" wp14:anchorId="5F30E76D" wp14:editId="4E73F8C5">
            <wp:extent cx="5486400" cy="1447800"/>
            <wp:effectExtent l="0" t="0" r="0" b="0"/>
            <wp:docPr id="266289800"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F9EC8D0" w14:textId="77777777" w:rsidR="00AA2594" w:rsidRPr="00D6599C" w:rsidRDefault="00AA2594" w:rsidP="00AA2594">
      <w:pPr>
        <w:jc w:val="both"/>
        <w:rPr>
          <w:rFonts w:asciiTheme="majorBidi" w:eastAsia="Times New Roman" w:hAnsiTheme="majorBidi" w:cstheme="majorBidi"/>
          <w:color w:val="000000"/>
          <w:kern w:val="0"/>
          <w:sz w:val="24"/>
          <w:szCs w:val="24"/>
          <w:lang w:eastAsia="tr-TR"/>
          <w14:ligatures w14:val="none"/>
        </w:rPr>
      </w:pPr>
      <w:r w:rsidRPr="00D6599C">
        <w:rPr>
          <w:rFonts w:asciiTheme="majorBidi" w:eastAsia="Times New Roman" w:hAnsiTheme="majorBidi" w:cstheme="majorBidi"/>
          <w:color w:val="000000"/>
          <w:kern w:val="0"/>
          <w:sz w:val="24"/>
          <w:szCs w:val="24"/>
          <w:lang w:eastAsia="tr-TR"/>
          <w14:ligatures w14:val="none"/>
        </w:rPr>
        <w:t>Ankete katılanların tamamı öğretim elemanlarıyla pek çok konuda rahatlıkla konuşabildiğini ifade etmiştir.</w:t>
      </w:r>
    </w:p>
    <w:p w14:paraId="498AA682" w14:textId="4909F01C" w:rsidR="00AA2594" w:rsidRPr="00D6599C" w:rsidRDefault="00AA2594" w:rsidP="00AA2594">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D6599C">
        <w:rPr>
          <w:rFonts w:asciiTheme="majorBidi" w:eastAsia="Times New Roman" w:hAnsiTheme="majorBidi" w:cstheme="majorBidi"/>
          <w:b/>
          <w:bCs/>
          <w:color w:val="000000"/>
          <w:kern w:val="0"/>
          <w:sz w:val="24"/>
          <w:szCs w:val="24"/>
          <w:lang w:eastAsia="tr-TR"/>
          <w14:ligatures w14:val="none"/>
        </w:rPr>
        <w:t xml:space="preserve">Soru </w:t>
      </w:r>
      <w:r w:rsidR="00AB25DB">
        <w:rPr>
          <w:rFonts w:asciiTheme="majorBidi" w:eastAsia="Times New Roman" w:hAnsiTheme="majorBidi" w:cstheme="majorBidi"/>
          <w:b/>
          <w:bCs/>
          <w:color w:val="000000"/>
          <w:kern w:val="0"/>
          <w:sz w:val="24"/>
          <w:szCs w:val="24"/>
          <w:lang w:eastAsia="tr-TR"/>
          <w14:ligatures w14:val="none"/>
        </w:rPr>
        <w:t>18</w:t>
      </w:r>
      <w:r w:rsidRPr="00D6599C">
        <w:rPr>
          <w:rFonts w:asciiTheme="majorBidi" w:eastAsia="Times New Roman" w:hAnsiTheme="majorBidi" w:cstheme="majorBidi"/>
          <w:b/>
          <w:bCs/>
          <w:color w:val="000000"/>
          <w:kern w:val="0"/>
          <w:sz w:val="24"/>
          <w:szCs w:val="24"/>
          <w:lang w:eastAsia="tr-TR"/>
          <w14:ligatures w14:val="none"/>
        </w:rPr>
        <w:t xml:space="preserve">. </w:t>
      </w:r>
      <w:r w:rsidRPr="00476B0E">
        <w:rPr>
          <w:rFonts w:asciiTheme="majorBidi" w:eastAsia="Times New Roman" w:hAnsiTheme="majorBidi" w:cstheme="majorBidi"/>
          <w:b/>
          <w:bCs/>
          <w:color w:val="000000"/>
          <w:kern w:val="0"/>
          <w:sz w:val="24"/>
          <w:szCs w:val="24"/>
          <w:lang w:eastAsia="tr-TR"/>
          <w14:ligatures w14:val="none"/>
        </w:rPr>
        <w:t>Danışmanım sorumluluklarını yerine getirmektedir.</w:t>
      </w:r>
    </w:p>
    <w:p w14:paraId="6722A5FC" w14:textId="747EB8F6" w:rsidR="00AA2594" w:rsidRPr="00D6599C" w:rsidRDefault="00DB2BFD" w:rsidP="00AA2594">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D6599C">
        <w:rPr>
          <w:rFonts w:asciiTheme="majorBidi" w:eastAsia="Times New Roman" w:hAnsiTheme="majorBidi" w:cstheme="majorBidi"/>
          <w:b/>
          <w:bCs/>
          <w:noProof/>
          <w:color w:val="000000"/>
          <w:kern w:val="0"/>
          <w:sz w:val="24"/>
          <w:szCs w:val="24"/>
          <w:lang w:eastAsia="tr-TR"/>
        </w:rPr>
        <w:drawing>
          <wp:inline distT="0" distB="0" distL="0" distR="0" wp14:anchorId="3C8AA8AF" wp14:editId="53A63491">
            <wp:extent cx="5486400" cy="1242060"/>
            <wp:effectExtent l="0" t="0" r="0" b="15240"/>
            <wp:docPr id="411722439" name="Grafik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746AFCE" w14:textId="77777777" w:rsidR="00AA2594" w:rsidRPr="00D6599C" w:rsidRDefault="00AA2594" w:rsidP="00AA2594">
      <w:pPr>
        <w:jc w:val="both"/>
        <w:rPr>
          <w:rFonts w:asciiTheme="majorBidi" w:hAnsiTheme="majorBidi" w:cstheme="majorBidi"/>
          <w:sz w:val="24"/>
          <w:szCs w:val="24"/>
        </w:rPr>
      </w:pPr>
      <w:r w:rsidRPr="00D6599C">
        <w:rPr>
          <w:rFonts w:asciiTheme="majorBidi" w:hAnsiTheme="majorBidi" w:cstheme="majorBidi"/>
          <w:sz w:val="24"/>
          <w:szCs w:val="24"/>
        </w:rPr>
        <w:t>Ankete katılanların tamamı danışmanının sorumluluklarını yerine getirdiğini ifade etmiştir.</w:t>
      </w:r>
    </w:p>
    <w:p w14:paraId="2DD343F5" w14:textId="34C52AA1" w:rsidR="00AA2594" w:rsidRPr="00D6599C" w:rsidRDefault="00AA2594" w:rsidP="00AA2594">
      <w:pPr>
        <w:spacing w:after="0" w:line="240" w:lineRule="auto"/>
        <w:jc w:val="both"/>
        <w:rPr>
          <w:rFonts w:asciiTheme="majorBidi" w:eastAsia="Times New Roman" w:hAnsiTheme="majorBidi" w:cstheme="majorBidi"/>
          <w:b/>
          <w:bCs/>
          <w:color w:val="000000"/>
          <w:kern w:val="0"/>
          <w:sz w:val="24"/>
          <w:szCs w:val="24"/>
          <w:lang w:eastAsia="tr-TR"/>
          <w14:ligatures w14:val="none"/>
        </w:rPr>
      </w:pPr>
      <w:r>
        <w:rPr>
          <w:rFonts w:asciiTheme="majorBidi" w:eastAsia="Times New Roman" w:hAnsiTheme="majorBidi" w:cstheme="majorBidi"/>
          <w:b/>
          <w:bCs/>
          <w:color w:val="000000"/>
          <w:kern w:val="0"/>
          <w:sz w:val="24"/>
          <w:szCs w:val="24"/>
          <w:lang w:eastAsia="tr-TR"/>
          <w14:ligatures w14:val="none"/>
        </w:rPr>
        <w:t xml:space="preserve">Soru </w:t>
      </w:r>
      <w:r w:rsidRPr="00D6599C">
        <w:rPr>
          <w:rFonts w:asciiTheme="majorBidi" w:eastAsia="Times New Roman" w:hAnsiTheme="majorBidi" w:cstheme="majorBidi"/>
          <w:b/>
          <w:bCs/>
          <w:color w:val="000000"/>
          <w:kern w:val="0"/>
          <w:sz w:val="24"/>
          <w:szCs w:val="24"/>
          <w:lang w:eastAsia="tr-TR"/>
          <w14:ligatures w14:val="none"/>
        </w:rPr>
        <w:t>1</w:t>
      </w:r>
      <w:r w:rsidR="00AB25DB">
        <w:rPr>
          <w:rFonts w:asciiTheme="majorBidi" w:eastAsia="Times New Roman" w:hAnsiTheme="majorBidi" w:cstheme="majorBidi"/>
          <w:b/>
          <w:bCs/>
          <w:color w:val="000000"/>
          <w:kern w:val="0"/>
          <w:sz w:val="24"/>
          <w:szCs w:val="24"/>
          <w:lang w:eastAsia="tr-TR"/>
          <w14:ligatures w14:val="none"/>
        </w:rPr>
        <w:t>9</w:t>
      </w:r>
      <w:r w:rsidRPr="00D6599C">
        <w:rPr>
          <w:rFonts w:asciiTheme="majorBidi" w:eastAsia="Times New Roman" w:hAnsiTheme="majorBidi" w:cstheme="majorBidi"/>
          <w:b/>
          <w:bCs/>
          <w:color w:val="000000"/>
          <w:kern w:val="0"/>
          <w:sz w:val="24"/>
          <w:szCs w:val="24"/>
          <w:lang w:eastAsia="tr-TR"/>
          <w14:ligatures w14:val="none"/>
        </w:rPr>
        <w:t xml:space="preserve">. </w:t>
      </w:r>
      <w:r w:rsidRPr="009A71D9">
        <w:rPr>
          <w:rFonts w:asciiTheme="majorBidi" w:eastAsia="Times New Roman" w:hAnsiTheme="majorBidi" w:cstheme="majorBidi"/>
          <w:b/>
          <w:bCs/>
          <w:color w:val="000000"/>
          <w:kern w:val="0"/>
          <w:sz w:val="24"/>
          <w:szCs w:val="24"/>
          <w:lang w:eastAsia="tr-TR"/>
          <w14:ligatures w14:val="none"/>
        </w:rPr>
        <w:t>Danışmanım dönem içerisinde almam gereken zorunlu ve seçmeli dersler hakkında bilgilendirme yapmakta ve kontrolünü sağlamaktadır.</w:t>
      </w:r>
    </w:p>
    <w:p w14:paraId="1CE2EAD8" w14:textId="1B6D0275" w:rsidR="00AA2594" w:rsidRPr="00D6599C" w:rsidRDefault="00FB03B6" w:rsidP="00AA2594">
      <w:pPr>
        <w:spacing w:after="0" w:line="240" w:lineRule="auto"/>
        <w:jc w:val="both"/>
        <w:rPr>
          <w:rFonts w:asciiTheme="majorBidi" w:eastAsia="Times New Roman" w:hAnsiTheme="majorBidi" w:cstheme="majorBidi"/>
          <w:color w:val="000000"/>
          <w:kern w:val="0"/>
          <w:sz w:val="24"/>
          <w:szCs w:val="24"/>
          <w:lang w:eastAsia="tr-TR"/>
          <w14:ligatures w14:val="none"/>
        </w:rPr>
      </w:pPr>
      <w:r w:rsidRPr="00D6599C">
        <w:rPr>
          <w:rFonts w:asciiTheme="majorBidi" w:eastAsia="Times New Roman" w:hAnsiTheme="majorBidi" w:cstheme="majorBidi"/>
          <w:noProof/>
          <w:color w:val="000000"/>
          <w:kern w:val="0"/>
          <w:sz w:val="24"/>
          <w:szCs w:val="24"/>
          <w:lang w:eastAsia="tr-TR"/>
        </w:rPr>
        <w:drawing>
          <wp:inline distT="0" distB="0" distL="0" distR="0" wp14:anchorId="400408DD" wp14:editId="78FC06D2">
            <wp:extent cx="5486400" cy="1470660"/>
            <wp:effectExtent l="0" t="0" r="0" b="15240"/>
            <wp:docPr id="1943280927"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38627DF" w14:textId="0956EF70" w:rsidR="00FD35C5" w:rsidRDefault="00FD35C5" w:rsidP="00AA2594">
      <w:pPr>
        <w:jc w:val="both"/>
        <w:rPr>
          <w:rFonts w:asciiTheme="majorBidi" w:hAnsiTheme="majorBidi" w:cstheme="majorBidi"/>
          <w:sz w:val="24"/>
          <w:szCs w:val="24"/>
        </w:rPr>
      </w:pPr>
      <w:r w:rsidRPr="00AB25DB">
        <w:rPr>
          <w:rFonts w:asciiTheme="majorBidi" w:hAnsiTheme="majorBidi" w:cstheme="majorBidi"/>
          <w:sz w:val="24"/>
          <w:szCs w:val="24"/>
        </w:rPr>
        <w:t xml:space="preserve">Ankete katılan öğrencilerin tamamı (%100), lisansüstü eğitim sürecinde danışmanlarının zorunlu ve seçmeli dersler konusunda kendilerini yeterli ve zamanında bilgilendirdiğini ifade </w:t>
      </w:r>
      <w:r w:rsidRPr="00AB25DB">
        <w:rPr>
          <w:rFonts w:asciiTheme="majorBidi" w:hAnsiTheme="majorBidi" w:cstheme="majorBidi"/>
          <w:sz w:val="24"/>
          <w:szCs w:val="24"/>
        </w:rPr>
        <w:lastRenderedPageBreak/>
        <w:t>etmiştir. Bu oranın 2024 yılında %83 düzeyinde gerçekleşmiş olması, 2025 yılı itibarıyla danışmanlık hizmetlerinin bilgilendirme ve yönlendirme boyutunda belirgin bir iyileşme sağlandığını göstermektedir. Bu bulgu, Maliye Bölümünde danışmanlık süreçlerinin sistemli, erişilebilir ve öğrenci ihtiyaçlarına duyarlı bir biçimde yürütüldüğünü ortaya koymaktadır.</w:t>
      </w:r>
    </w:p>
    <w:p w14:paraId="764F9917" w14:textId="466C171B" w:rsidR="00AA2594" w:rsidRPr="003E3467" w:rsidRDefault="00AA2594" w:rsidP="00AA2594">
      <w:pPr>
        <w:jc w:val="both"/>
        <w:rPr>
          <w:rFonts w:ascii="Arial" w:eastAsia="Times New Roman" w:hAnsi="Arial" w:cs="Arial"/>
          <w:b/>
          <w:bCs/>
          <w:color w:val="000000"/>
          <w:kern w:val="0"/>
          <w:sz w:val="20"/>
          <w:szCs w:val="20"/>
          <w:lang w:eastAsia="tr-TR"/>
          <w14:ligatures w14:val="none"/>
        </w:rPr>
      </w:pPr>
      <w:r w:rsidRPr="003E3467">
        <w:rPr>
          <w:rFonts w:asciiTheme="majorBidi" w:hAnsiTheme="majorBidi" w:cstheme="majorBidi"/>
          <w:b/>
          <w:bCs/>
          <w:sz w:val="24"/>
          <w:szCs w:val="24"/>
        </w:rPr>
        <w:t>Soru 2</w:t>
      </w:r>
      <w:r w:rsidR="00AB25DB">
        <w:rPr>
          <w:rFonts w:asciiTheme="majorBidi" w:hAnsiTheme="majorBidi" w:cstheme="majorBidi"/>
          <w:b/>
          <w:bCs/>
          <w:sz w:val="24"/>
          <w:szCs w:val="24"/>
        </w:rPr>
        <w:t>0</w:t>
      </w:r>
      <w:r w:rsidRPr="003E3467">
        <w:rPr>
          <w:rFonts w:asciiTheme="majorBidi" w:hAnsiTheme="majorBidi" w:cstheme="majorBidi"/>
          <w:b/>
          <w:bCs/>
          <w:sz w:val="24"/>
          <w:szCs w:val="24"/>
        </w:rPr>
        <w:t xml:space="preserve">. </w:t>
      </w:r>
      <w:r w:rsidRPr="003E3467">
        <w:rPr>
          <w:rFonts w:ascii="Arial" w:eastAsia="Times New Roman" w:hAnsi="Arial" w:cs="Arial"/>
          <w:b/>
          <w:bCs/>
          <w:color w:val="000000"/>
          <w:kern w:val="0"/>
          <w:sz w:val="20"/>
          <w:szCs w:val="20"/>
          <w:lang w:eastAsia="tr-TR"/>
          <w14:ligatures w14:val="none"/>
        </w:rPr>
        <w:t>Danışmanım akademik gelişimimi izlemektedir.</w:t>
      </w:r>
    </w:p>
    <w:p w14:paraId="66B10AED" w14:textId="4CCF6F96" w:rsidR="00AA2594" w:rsidRDefault="0023782F" w:rsidP="00AA2594">
      <w:pPr>
        <w:jc w:val="both"/>
        <w:rPr>
          <w:rFonts w:asciiTheme="majorBidi" w:hAnsiTheme="majorBidi" w:cstheme="majorBidi"/>
          <w:sz w:val="24"/>
          <w:szCs w:val="24"/>
        </w:rPr>
      </w:pPr>
      <w:r w:rsidRPr="00D6599C">
        <w:rPr>
          <w:rFonts w:asciiTheme="majorBidi" w:eastAsia="Times New Roman" w:hAnsiTheme="majorBidi" w:cstheme="majorBidi"/>
          <w:noProof/>
          <w:color w:val="000000"/>
          <w:kern w:val="0"/>
          <w:sz w:val="24"/>
          <w:szCs w:val="24"/>
          <w:lang w:eastAsia="tr-TR"/>
        </w:rPr>
        <w:drawing>
          <wp:inline distT="0" distB="0" distL="0" distR="0" wp14:anchorId="4CF8BA70" wp14:editId="1DFB7135">
            <wp:extent cx="5486400" cy="1645920"/>
            <wp:effectExtent l="0" t="0" r="0" b="11430"/>
            <wp:docPr id="1605658995"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AC3DDC9" w14:textId="77777777" w:rsidR="004F09BF" w:rsidRDefault="004F09BF" w:rsidP="004F09BF">
      <w:pPr>
        <w:jc w:val="both"/>
        <w:rPr>
          <w:rFonts w:asciiTheme="majorBidi" w:hAnsiTheme="majorBidi" w:cstheme="majorBidi"/>
          <w:sz w:val="24"/>
          <w:szCs w:val="24"/>
        </w:rPr>
      </w:pPr>
      <w:r w:rsidRPr="004F09BF">
        <w:rPr>
          <w:rFonts w:asciiTheme="majorBidi" w:hAnsiTheme="majorBidi" w:cstheme="majorBidi"/>
          <w:sz w:val="24"/>
          <w:szCs w:val="24"/>
        </w:rPr>
        <w:t>Ankete katılan öğrencilerin tamamı (%100), lisansüstü eğitim sürecinde danışmanları tarafından akademik gelişimlerinin düzenli ve yakından takip edildiğini ifade etmiştir. Bu oranın 2024 yılında %83 düzeyinde gerçekleşmiş olması, 2025 yılı itibarıyla danışmanlık hizmetlerinin etkinliği ve niteliğinde kayda değer bir iyileşmeye işaret etmektedir.</w:t>
      </w:r>
    </w:p>
    <w:p w14:paraId="2ABFA6C6" w14:textId="77777777" w:rsidR="004F09BF" w:rsidRDefault="004F09BF" w:rsidP="004F09BF">
      <w:pPr>
        <w:jc w:val="both"/>
        <w:rPr>
          <w:rFonts w:asciiTheme="majorBidi" w:hAnsiTheme="majorBidi" w:cstheme="majorBidi"/>
          <w:sz w:val="24"/>
          <w:szCs w:val="24"/>
        </w:rPr>
      </w:pPr>
      <w:r w:rsidRPr="004F09BF">
        <w:rPr>
          <w:rFonts w:asciiTheme="majorBidi" w:hAnsiTheme="majorBidi" w:cstheme="majorBidi"/>
          <w:sz w:val="24"/>
          <w:szCs w:val="24"/>
        </w:rPr>
        <w:t>Bu olumlu değerlendirmenin somut göstergelerinden biri, Maliye Bölümü öğretim üyelerinin öğrencileri bilimsel üretime aktif biçimde yönlendirmesidir. Nitekim hâlihazırda yüksek lisans öğrenimine devam eden bir öğrencinin danışmanı ile birlikte gerçekleştirilmiş SSCI indeksli bir yayını, iki lisansüstü öğrencinin hakemli dergilerde yayımlanmış makaleleri ve bir öğrencinin TÜBİTAK 1002 Projesi bulunmaktadır. Ayrıca öğretim üyeleri, öğrencileri makale yazımı, ulusal ve uluslararası kongre ve sempozyumlara katılım ile TÜBİTAK ve benzeri proje çağrılarına başvuru konularında sistematik olarak teşvik etmekte ve rehberlik etmektedir.</w:t>
      </w:r>
    </w:p>
    <w:p w14:paraId="3434EB46" w14:textId="1B5F1BF1" w:rsidR="004F09BF" w:rsidRPr="004F09BF" w:rsidRDefault="004F09BF" w:rsidP="004F09BF">
      <w:pPr>
        <w:jc w:val="both"/>
        <w:rPr>
          <w:rFonts w:asciiTheme="majorBidi" w:hAnsiTheme="majorBidi" w:cstheme="majorBidi"/>
          <w:sz w:val="24"/>
          <w:szCs w:val="24"/>
        </w:rPr>
      </w:pPr>
      <w:r w:rsidRPr="004F09BF">
        <w:rPr>
          <w:rFonts w:asciiTheme="majorBidi" w:hAnsiTheme="majorBidi" w:cstheme="majorBidi"/>
          <w:sz w:val="24"/>
          <w:szCs w:val="24"/>
        </w:rPr>
        <w:t>Bu çerçevede, danışmanlık faaliyetlerinin yalnızca ders ve tez süreciyle sınırlı kalmadığı; öğrencilerin bilgi üretme, akademik yayın yapma ve proje geliştirme becerilerini güçlendiren bütüncül bir akademik destek mekanizması şeklinde yürütüldüğü görülmektedir.</w:t>
      </w:r>
    </w:p>
    <w:p w14:paraId="015CBF3E" w14:textId="77777777" w:rsidR="004F09BF" w:rsidRDefault="004F09BF" w:rsidP="00AA2594">
      <w:pPr>
        <w:jc w:val="both"/>
        <w:rPr>
          <w:rFonts w:asciiTheme="majorBidi" w:hAnsiTheme="majorBidi" w:cstheme="majorBidi"/>
          <w:sz w:val="24"/>
          <w:szCs w:val="24"/>
        </w:rPr>
      </w:pPr>
    </w:p>
    <w:p w14:paraId="7A79AC3A" w14:textId="77777777" w:rsidR="00AA2594" w:rsidRDefault="00AA2594" w:rsidP="00AA2594">
      <w:pPr>
        <w:jc w:val="both"/>
        <w:rPr>
          <w:rFonts w:asciiTheme="majorBidi" w:hAnsiTheme="majorBidi" w:cstheme="majorBidi"/>
          <w:sz w:val="24"/>
          <w:szCs w:val="24"/>
        </w:rPr>
      </w:pPr>
    </w:p>
    <w:p w14:paraId="28D13285" w14:textId="77777777" w:rsidR="00AA2594" w:rsidRDefault="00AA2594" w:rsidP="00AA2594">
      <w:pPr>
        <w:jc w:val="both"/>
        <w:rPr>
          <w:rFonts w:asciiTheme="majorBidi" w:hAnsiTheme="majorBidi" w:cstheme="majorBidi"/>
          <w:sz w:val="24"/>
          <w:szCs w:val="24"/>
        </w:rPr>
      </w:pPr>
      <w:r>
        <w:rPr>
          <w:rFonts w:asciiTheme="majorBidi" w:hAnsiTheme="majorBidi" w:cstheme="majorBidi"/>
          <w:sz w:val="24"/>
          <w:szCs w:val="24"/>
        </w:rPr>
        <w:br w:type="page"/>
      </w:r>
    </w:p>
    <w:p w14:paraId="7C8BDF1F" w14:textId="1757DD43" w:rsidR="00AA2594" w:rsidRPr="00B85FF4" w:rsidRDefault="00AA2594" w:rsidP="00AA2594">
      <w:pPr>
        <w:jc w:val="both"/>
        <w:rPr>
          <w:rFonts w:asciiTheme="majorBidi" w:hAnsiTheme="majorBidi" w:cstheme="majorBidi"/>
          <w:b/>
          <w:bCs/>
          <w:sz w:val="24"/>
          <w:szCs w:val="24"/>
        </w:rPr>
      </w:pPr>
      <w:r w:rsidRPr="00B85FF4">
        <w:rPr>
          <w:rFonts w:asciiTheme="majorBidi" w:hAnsiTheme="majorBidi" w:cstheme="majorBidi"/>
          <w:b/>
          <w:bCs/>
          <w:sz w:val="24"/>
          <w:szCs w:val="24"/>
        </w:rPr>
        <w:lastRenderedPageBreak/>
        <w:t>Soru 2</w:t>
      </w:r>
      <w:r w:rsidR="000D0BAC">
        <w:rPr>
          <w:rFonts w:asciiTheme="majorBidi" w:hAnsiTheme="majorBidi" w:cstheme="majorBidi"/>
          <w:b/>
          <w:bCs/>
          <w:sz w:val="24"/>
          <w:szCs w:val="24"/>
        </w:rPr>
        <w:t>1</w:t>
      </w:r>
      <w:r w:rsidRPr="00B85FF4">
        <w:rPr>
          <w:rFonts w:asciiTheme="majorBidi" w:hAnsiTheme="majorBidi" w:cstheme="majorBidi"/>
          <w:b/>
          <w:bCs/>
          <w:sz w:val="24"/>
          <w:szCs w:val="24"/>
        </w:rPr>
        <w:t>. Danışmanım ilgi alanımı, yeteneklerimi ve güncel araştırma konularını dikkate alarak tez önerisinde ve seçiminde bana yardımcı olmaktadır.</w:t>
      </w:r>
    </w:p>
    <w:p w14:paraId="1CFB9B0E" w14:textId="4CC7DC37" w:rsidR="00AA2594" w:rsidRDefault="0069581D" w:rsidP="00AA2594">
      <w:pPr>
        <w:jc w:val="both"/>
        <w:rPr>
          <w:rFonts w:asciiTheme="majorBidi" w:eastAsia="Times New Roman" w:hAnsiTheme="majorBidi" w:cstheme="majorBidi"/>
          <w:noProof/>
          <w:color w:val="000000"/>
          <w:kern w:val="0"/>
          <w:sz w:val="24"/>
          <w:szCs w:val="24"/>
          <w:lang w:eastAsia="tr-TR"/>
        </w:rPr>
      </w:pPr>
      <w:r w:rsidRPr="00D6599C">
        <w:rPr>
          <w:rFonts w:asciiTheme="majorBidi" w:eastAsia="Times New Roman" w:hAnsiTheme="majorBidi" w:cstheme="majorBidi"/>
          <w:noProof/>
          <w:color w:val="000000"/>
          <w:kern w:val="0"/>
          <w:sz w:val="24"/>
          <w:szCs w:val="24"/>
          <w:lang w:eastAsia="tr-TR"/>
        </w:rPr>
        <w:drawing>
          <wp:inline distT="0" distB="0" distL="0" distR="0" wp14:anchorId="2A581461" wp14:editId="25F713E3">
            <wp:extent cx="5486400" cy="1645920"/>
            <wp:effectExtent l="0" t="0" r="0" b="11430"/>
            <wp:docPr id="1257093051"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05A76CA" w14:textId="5101DC63" w:rsidR="002C3EA5" w:rsidRDefault="002C3EA5" w:rsidP="00560AEB">
      <w:pPr>
        <w:jc w:val="both"/>
        <w:rPr>
          <w:rFonts w:asciiTheme="majorBidi" w:hAnsiTheme="majorBidi" w:cstheme="majorBidi"/>
          <w:sz w:val="24"/>
          <w:szCs w:val="24"/>
        </w:rPr>
      </w:pPr>
      <w:r w:rsidRPr="002C3EA5">
        <w:rPr>
          <w:rFonts w:asciiTheme="majorBidi" w:hAnsiTheme="majorBidi" w:cstheme="majorBidi"/>
          <w:sz w:val="24"/>
          <w:szCs w:val="24"/>
        </w:rPr>
        <w:t>Ankete katılan öğrencilerin tamamı (%100), tez konusu seçim sürecinde kendi ilgi alanları ve taleplerinin danışmanları tarafından dikkate alındığını ifade etmiştir. Bu oranın 2024 yılında %83 düzeyinde gerçekleşmiş olması, danışman–öğrenci etkileşiminin güçlendiğini ve danışmanlık sürecinin daha katılımcı ve öğrenci odaklı bir yapıya kavuştuğunu göstermektedir. Bu durum, öğrencilerin akademik motivasyonlarının artmasına, tez çalışmalarının daha verimli yürütülmesine ve ortaya çıkan akademik çıktıların niteliğinin yükselmesine önemli katkı sağlamaktadır.</w:t>
      </w:r>
    </w:p>
    <w:p w14:paraId="4B58A2E1" w14:textId="4834C639" w:rsidR="00AA2594" w:rsidRPr="00676C21" w:rsidRDefault="00AA2594" w:rsidP="00AA2594">
      <w:pPr>
        <w:jc w:val="both"/>
        <w:rPr>
          <w:rFonts w:asciiTheme="majorBidi" w:hAnsiTheme="majorBidi" w:cstheme="majorBidi"/>
          <w:b/>
          <w:bCs/>
          <w:sz w:val="24"/>
          <w:szCs w:val="24"/>
        </w:rPr>
      </w:pPr>
      <w:r w:rsidRPr="00676C21">
        <w:rPr>
          <w:rFonts w:asciiTheme="majorBidi" w:hAnsiTheme="majorBidi" w:cstheme="majorBidi"/>
          <w:b/>
          <w:bCs/>
          <w:sz w:val="24"/>
          <w:szCs w:val="24"/>
        </w:rPr>
        <w:t>Soru 2</w:t>
      </w:r>
      <w:r w:rsidR="005B0CD3">
        <w:rPr>
          <w:rFonts w:asciiTheme="majorBidi" w:hAnsiTheme="majorBidi" w:cstheme="majorBidi"/>
          <w:b/>
          <w:bCs/>
          <w:sz w:val="24"/>
          <w:szCs w:val="24"/>
        </w:rPr>
        <w:t>2</w:t>
      </w:r>
      <w:r w:rsidRPr="00676C21">
        <w:rPr>
          <w:rFonts w:asciiTheme="majorBidi" w:hAnsiTheme="majorBidi" w:cstheme="majorBidi"/>
          <w:b/>
          <w:bCs/>
          <w:sz w:val="24"/>
          <w:szCs w:val="24"/>
        </w:rPr>
        <w:t xml:space="preserve"> Danışmanım tez konusuna ilişkin bilimsel gelişmeleri izleyerek bana yol göstermektedir.</w:t>
      </w:r>
    </w:p>
    <w:p w14:paraId="226D69C8" w14:textId="77777777" w:rsidR="00AA2594" w:rsidRDefault="00AA2594" w:rsidP="00AA2594">
      <w:pPr>
        <w:jc w:val="both"/>
        <w:rPr>
          <w:rFonts w:asciiTheme="majorBidi" w:eastAsia="Times New Roman" w:hAnsiTheme="majorBidi" w:cstheme="majorBidi"/>
          <w:noProof/>
          <w:color w:val="000000"/>
          <w:kern w:val="0"/>
          <w:sz w:val="24"/>
          <w:szCs w:val="24"/>
          <w:lang w:eastAsia="tr-TR"/>
        </w:rPr>
      </w:pPr>
      <w:r w:rsidRPr="00D6599C">
        <w:rPr>
          <w:rFonts w:asciiTheme="majorBidi" w:eastAsia="Times New Roman" w:hAnsiTheme="majorBidi" w:cstheme="majorBidi"/>
          <w:noProof/>
          <w:color w:val="000000"/>
          <w:kern w:val="0"/>
          <w:sz w:val="24"/>
          <w:szCs w:val="24"/>
          <w:lang w:eastAsia="tr-TR"/>
        </w:rPr>
        <w:drawing>
          <wp:inline distT="0" distB="0" distL="0" distR="0" wp14:anchorId="6E0CBCC8" wp14:editId="0546B0B2">
            <wp:extent cx="5486400" cy="1645920"/>
            <wp:effectExtent l="0" t="0" r="0" b="11430"/>
            <wp:docPr id="1768173451"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AD40DE2" w14:textId="10EC6BBE" w:rsidR="00A26385" w:rsidRDefault="00B23D58" w:rsidP="00EA2909">
      <w:pPr>
        <w:jc w:val="both"/>
        <w:rPr>
          <w:rFonts w:asciiTheme="majorBidi" w:hAnsiTheme="majorBidi" w:cstheme="majorBidi"/>
          <w:sz w:val="24"/>
          <w:szCs w:val="24"/>
        </w:rPr>
      </w:pPr>
      <w:r w:rsidRPr="00B23D58">
        <w:rPr>
          <w:rFonts w:asciiTheme="majorBidi" w:hAnsiTheme="majorBidi" w:cstheme="majorBidi"/>
          <w:sz w:val="24"/>
          <w:szCs w:val="24"/>
        </w:rPr>
        <w:t>Ankete katılan öğrencilerin tamamı (%100), tez konusunun belirlenmesi sürecinde danışmanlarının güncel bilimsel gelişmeleri yakından takip ederek kendilerine yol gösterdiğini ifade etmiştir. Bu oranın 2024 yılında %83 düzeyinde gerçekleşmiş olması, danışmanlık süreçlerinin niteliğinde belirgin bir iyileşme olduğunu ortaya koymaktadır. Danışmanların literatürü ve güncel akademik tartışmaları izleyerek öğrencilere rehberlik etmesi, tez çalışmalarının bilimsel niteliğini artırmakta; öğrencilerin özgün, güncel ve literatüre katkı sağlayan çalışmalar üretmesine imkân tanımaktadır.</w:t>
      </w:r>
    </w:p>
    <w:p w14:paraId="1E393EF8" w14:textId="5826CB0C" w:rsidR="00A26385" w:rsidRPr="00EA2909" w:rsidRDefault="00A26385" w:rsidP="00EA2909">
      <w:pPr>
        <w:jc w:val="center"/>
        <w:rPr>
          <w:rFonts w:asciiTheme="majorBidi" w:hAnsiTheme="majorBidi" w:cstheme="majorBidi"/>
          <w:b/>
          <w:bCs/>
          <w:sz w:val="24"/>
          <w:szCs w:val="24"/>
        </w:rPr>
      </w:pPr>
      <w:r w:rsidRPr="00EA2909">
        <w:rPr>
          <w:rFonts w:asciiTheme="majorBidi" w:hAnsiTheme="majorBidi" w:cstheme="majorBidi"/>
          <w:b/>
          <w:bCs/>
          <w:sz w:val="24"/>
          <w:szCs w:val="24"/>
        </w:rPr>
        <w:t>SONUÇ VE GENEL DEĞERLENDİRME</w:t>
      </w:r>
    </w:p>
    <w:p w14:paraId="7580C63B" w14:textId="77777777" w:rsidR="00EA2909" w:rsidRDefault="00A26385" w:rsidP="00EA2909">
      <w:pPr>
        <w:jc w:val="both"/>
        <w:rPr>
          <w:rFonts w:asciiTheme="majorBidi" w:hAnsiTheme="majorBidi" w:cstheme="majorBidi"/>
          <w:sz w:val="24"/>
          <w:szCs w:val="24"/>
        </w:rPr>
      </w:pPr>
      <w:r w:rsidRPr="00A26385">
        <w:rPr>
          <w:rFonts w:asciiTheme="majorBidi" w:hAnsiTheme="majorBidi" w:cstheme="majorBidi"/>
          <w:sz w:val="24"/>
          <w:szCs w:val="24"/>
        </w:rPr>
        <w:t xml:space="preserve">2025 Yılı Lisansüstü Öğrenci Memnuniyet Anketi sonuçları, Çanakkale Onsekiz Mart Üniversitesi Maliye Bölümünde yürütülen tezli yüksek lisans ve doktora programlarının eğitim-öğretim, danışmanlık, akademik rehberlik ve araştırma faaliyetleri açısından son derece yüksek bir kalite düzeyine ulaştığını açık biçimde ortaya koymaktadır. Anketten elde edilen bulgular, hem önceki yılla yapılan karşılaştırmalar hem de öğrenci geri bildirimlerinin tutarlılığı dikkate </w:t>
      </w:r>
      <w:r w:rsidRPr="00A26385">
        <w:rPr>
          <w:rFonts w:asciiTheme="majorBidi" w:hAnsiTheme="majorBidi" w:cstheme="majorBidi"/>
          <w:sz w:val="24"/>
          <w:szCs w:val="24"/>
        </w:rPr>
        <w:lastRenderedPageBreak/>
        <w:t>alındığında, bölümün lisansüstü eğitimde sürdürülebilir bir kalite güvence sistemine sahip olduğunu göstermektedir.</w:t>
      </w:r>
    </w:p>
    <w:p w14:paraId="5B7DF907" w14:textId="77777777" w:rsidR="00EA2909" w:rsidRDefault="00A26385" w:rsidP="00EA2909">
      <w:pPr>
        <w:jc w:val="both"/>
        <w:rPr>
          <w:rFonts w:asciiTheme="majorBidi" w:hAnsiTheme="majorBidi" w:cstheme="majorBidi"/>
          <w:sz w:val="24"/>
          <w:szCs w:val="24"/>
        </w:rPr>
      </w:pPr>
      <w:r w:rsidRPr="00A26385">
        <w:rPr>
          <w:rFonts w:asciiTheme="majorBidi" w:hAnsiTheme="majorBidi" w:cstheme="majorBidi"/>
          <w:sz w:val="24"/>
          <w:szCs w:val="24"/>
        </w:rPr>
        <w:t>Öncelikle, öğrencilerin genel memnuniyet düzeyine ilişkin göstergeler dikkat çekicidir. Ankete katılan öğrencilerin tamamının (%100), yüksek lisans/doktora eğitimlerini ÇOMÜ Maliye Bölümünde almaktan memnun olduklarını ifade etmeleri; yine tamamının programı çevrelerine tavsiye edebileceklerini belirtmeleri, bölümün lisansüstü programlarına duyulan güvenin ve aidiyet duygusunun son derece yüksek olduğunu ortaya koymaktadır. Bu oranların 2024 yılında %67–%84 aralığında gerçekleşmiş olması, bir yıllık süre içerisinde öğrenci memnuniyetinde çok belirgin ve istikrarlı bir artış sağlandığını göstermektedir.</w:t>
      </w:r>
    </w:p>
    <w:p w14:paraId="593FF816" w14:textId="77777777" w:rsidR="00EA2909" w:rsidRDefault="00A26385" w:rsidP="00EA2909">
      <w:pPr>
        <w:jc w:val="both"/>
        <w:rPr>
          <w:rFonts w:asciiTheme="majorBidi" w:hAnsiTheme="majorBidi" w:cstheme="majorBidi"/>
          <w:sz w:val="24"/>
          <w:szCs w:val="24"/>
        </w:rPr>
      </w:pPr>
      <w:r w:rsidRPr="00A26385">
        <w:rPr>
          <w:rFonts w:asciiTheme="majorBidi" w:hAnsiTheme="majorBidi" w:cstheme="majorBidi"/>
          <w:sz w:val="24"/>
          <w:szCs w:val="24"/>
        </w:rPr>
        <w:t>Programın akademik yapısı ve ders içeriklerine ilişkin değerlendirmeler de bu olumlu tabloyu desteklemektedir. Öğrencilerin tamamı, lisansüstü programların ders içeriklerini, ders çeşitliliğini ve ders saatlerinin yeterliliğini uygun ve yeterli bulduklarını ifade etmiştir. Ders saatlerinin etkili ve verimli kullanıldığına ilişkin değerlendirmeler de genel olarak çok yüksek düzeydedir. Bu bulgular, Maliye Bölümünün lisansüstü müfredatının program çıktılarıyla uyumlu, güncel akademik gelişmeleri dikkate alan ve öğrenci ihtiyaçlarına cevap veren bir yapıda tasarlandığını göstermektedir. Ders planlamasında sağlanan bu etkinlik, öğrencilerin hem teorik altyapılarını güçlendirmekte hem de araştırma becerilerini desteklemektedir.</w:t>
      </w:r>
    </w:p>
    <w:p w14:paraId="594A164E" w14:textId="77777777" w:rsidR="00EA2909" w:rsidRDefault="00A26385" w:rsidP="00EA2909">
      <w:pPr>
        <w:jc w:val="both"/>
        <w:rPr>
          <w:rFonts w:asciiTheme="majorBidi" w:hAnsiTheme="majorBidi" w:cstheme="majorBidi"/>
          <w:sz w:val="24"/>
          <w:szCs w:val="24"/>
        </w:rPr>
      </w:pPr>
      <w:r w:rsidRPr="00A26385">
        <w:rPr>
          <w:rFonts w:asciiTheme="majorBidi" w:hAnsiTheme="majorBidi" w:cstheme="majorBidi"/>
          <w:sz w:val="24"/>
          <w:szCs w:val="24"/>
        </w:rPr>
        <w:t>Öğretim yöntemleri ve öğrenme ortamına ilişkin sonuçlar da bölümün öğrenci merkezli bir eğitim anlayışını benimsediğini ortaya koymaktadır. Öğrencilerin tamamı, derslerde aktif katılımın teşvik edildiğini, ödev, proje ve uygulama çalışmalarının öğrenme süreçlerine doğrudan katkı sağladığını belirtmiştir. Bu durum, lisansüstü eğitimde pasif bilgi aktarımından ziyade, tartışma, analiz, eleştirel düşünme ve uygulama temelli bir yaklaşımın benimsendiğini göstermektedir. Ayrıca ölçme ve değerlendirme süreçlerinde yalnızca sınavlara dayalı bir anlayışın benimsenmediği; ödev, proje, makale ve akademik üretimlerin de değerlendirmeye dâhil edildiği yönündeki %100’lük öğrenci görüşü, bölümde çağdaş ve çok boyutlu bir ölçme-değerlendirme yaklaşımının uygulandığını ortaya koymaktadır.</w:t>
      </w:r>
    </w:p>
    <w:p w14:paraId="62AA902D" w14:textId="77777777" w:rsidR="00070EAC" w:rsidRDefault="00A26385" w:rsidP="00070EAC">
      <w:pPr>
        <w:jc w:val="both"/>
        <w:rPr>
          <w:rFonts w:asciiTheme="majorBidi" w:hAnsiTheme="majorBidi" w:cstheme="majorBidi"/>
          <w:sz w:val="24"/>
          <w:szCs w:val="24"/>
        </w:rPr>
      </w:pPr>
      <w:r w:rsidRPr="00A26385">
        <w:rPr>
          <w:rFonts w:asciiTheme="majorBidi" w:hAnsiTheme="majorBidi" w:cstheme="majorBidi"/>
          <w:sz w:val="24"/>
          <w:szCs w:val="24"/>
        </w:rPr>
        <w:t>Danışmanlık sistemi, anket sonuçlarında öne çıkan en güçlü yönlerden biridir. Öğrencilerin tamamı, danışmanlarıyla düzenli ve sorunsuz biçimde iletişim kurabildiklerini, danışmanlarının akademik gelişimlerini yakından takip ettiğini, ders seçimleri ve program planlaması konusunda kendilerini bilgilendirdiğini ve tez sürecinde taleplerini dikkate aldığını ifade etmiştir. Danışmanların tez konularının belirlenmesinde öğrencilerin ilgi alanlarını ve güncel bilimsel gelişmeleri esas alarak yol gösterici bir rol üstlenmeleri, lisansüstü eğitimde rehberlik kalitesinin çok yüksek olduğunu göstermektedir. Bu göstergelerin tamamında 2024 yılına kıyasla kayda değer iyileşmelerin sağlanmış olması, danışmanlık süreçlerinin sistematik olarak geliştirildiğini ortaya koymaktadır.</w:t>
      </w:r>
    </w:p>
    <w:p w14:paraId="4C104D5B" w14:textId="77777777" w:rsidR="00070EAC" w:rsidRDefault="00A26385" w:rsidP="00070EAC">
      <w:pPr>
        <w:jc w:val="both"/>
        <w:rPr>
          <w:rFonts w:asciiTheme="majorBidi" w:hAnsiTheme="majorBidi" w:cstheme="majorBidi"/>
          <w:sz w:val="24"/>
          <w:szCs w:val="24"/>
        </w:rPr>
      </w:pPr>
      <w:r w:rsidRPr="00A26385">
        <w:rPr>
          <w:rFonts w:asciiTheme="majorBidi" w:hAnsiTheme="majorBidi" w:cstheme="majorBidi"/>
          <w:sz w:val="24"/>
          <w:szCs w:val="24"/>
        </w:rPr>
        <w:t>Öğretim elemanlarının akademik yetkinliği ve öğrencilere sağladıkları rehberlik, memnuniyet düzeyinin yüksekliğini açıklayan temel unsurlar arasında yer almaktadır. Ankete katılan öğrencilerin tamamı, öğretim üyelerinin alanlarında yetkin olduğunu, bilgiye erişme, bilgi üretme ve bilgiyi değerlendirme becerilerinin gelişiminde öğretim elemanlarının belirleyici rol oynadığını ifade etmiştir. Bölüm öğretim kadrosunun ulusal ve uluslararası yayın performansı, proje deneyimi ve akademik birikimi bu algıyı somut biçimde desteklemektedir. 450’nin üzerinde yayın, 35’ten fazla TÜBİTAK, AB ve BAP projesi ve lisansüstü öğrencilerle birlikte üretilen SSCI makaleler ile TÜBİTAK 1002 projeleri, lisansüstü eğitimde araştırma temelli yaklaşımın başarıyla hayata geçirildiğini göstermektedir.</w:t>
      </w:r>
    </w:p>
    <w:p w14:paraId="34AA8C74" w14:textId="77777777" w:rsidR="00070EAC" w:rsidRDefault="00A26385" w:rsidP="00070EAC">
      <w:pPr>
        <w:jc w:val="both"/>
        <w:rPr>
          <w:rFonts w:asciiTheme="majorBidi" w:hAnsiTheme="majorBidi" w:cstheme="majorBidi"/>
          <w:sz w:val="24"/>
          <w:szCs w:val="24"/>
        </w:rPr>
      </w:pPr>
      <w:r w:rsidRPr="00A26385">
        <w:rPr>
          <w:rFonts w:asciiTheme="majorBidi" w:hAnsiTheme="majorBidi" w:cstheme="majorBidi"/>
          <w:sz w:val="24"/>
          <w:szCs w:val="24"/>
        </w:rPr>
        <w:lastRenderedPageBreak/>
        <w:t>Özellikle öğrencilerin akademik faaliyetlere katılımının teşvik edilmesi ve bu alanda somut çıktılar elde edilmesi, Maliye Bölümünün lisansüstü eğitimde güçlü yönlerinden biri olarak öne çıkmaktadır. Öğrencilerin tamamının aldıkları eğitimin akademik faaliyetlere katılımlarını artırdığını ifade etmeleri; öğrencilerle birlikte üretilen SSCI yayınlar, hakemli dergi makaleleri ve TÜBİTAK destekli projelerle desteklenmektedir. Bu durum, bölümde lisansüstü eğitimin yalnızca diploma odaklı değil, akademik üretimi merkeze alan bir anlayışla yürütüldüğünü açıkça ortaya koymaktadır.</w:t>
      </w:r>
    </w:p>
    <w:p w14:paraId="4F09CF64" w14:textId="77777777" w:rsidR="00975A24" w:rsidRDefault="00A26385" w:rsidP="00975A24">
      <w:pPr>
        <w:jc w:val="both"/>
        <w:rPr>
          <w:rFonts w:asciiTheme="majorBidi" w:hAnsiTheme="majorBidi" w:cstheme="majorBidi"/>
          <w:sz w:val="24"/>
          <w:szCs w:val="24"/>
        </w:rPr>
      </w:pPr>
      <w:r w:rsidRPr="00A26385">
        <w:rPr>
          <w:rFonts w:asciiTheme="majorBidi" w:hAnsiTheme="majorBidi" w:cstheme="majorBidi"/>
          <w:sz w:val="24"/>
          <w:szCs w:val="24"/>
        </w:rPr>
        <w:t>Sonuç olarak, 2025 Yılı Lisansüstü Öğrenci Memnuniyet Anketi bulguları, Çanakkale Onsekiz Mart Üniversitesi Maliye Bölümünde yürütülen tezli yüksek lisans ve doktora programlarının;</w:t>
      </w:r>
    </w:p>
    <w:p w14:paraId="5E3F0AB2" w14:textId="77777777" w:rsidR="00975A24" w:rsidRPr="00975A24" w:rsidRDefault="00A26385" w:rsidP="00975A24">
      <w:pPr>
        <w:pStyle w:val="ListeParagraf"/>
        <w:numPr>
          <w:ilvl w:val="0"/>
          <w:numId w:val="2"/>
        </w:numPr>
        <w:jc w:val="both"/>
        <w:rPr>
          <w:rFonts w:asciiTheme="majorBidi" w:hAnsiTheme="majorBidi" w:cstheme="majorBidi"/>
          <w:sz w:val="24"/>
          <w:szCs w:val="24"/>
        </w:rPr>
      </w:pPr>
      <w:r w:rsidRPr="00975A24">
        <w:rPr>
          <w:rFonts w:asciiTheme="majorBidi" w:hAnsiTheme="majorBidi" w:cstheme="majorBidi"/>
          <w:sz w:val="24"/>
          <w:szCs w:val="24"/>
        </w:rPr>
        <w:t>öğrenci memnuniyeti,</w:t>
      </w:r>
    </w:p>
    <w:p w14:paraId="51981CC0" w14:textId="77777777" w:rsidR="00975A24" w:rsidRPr="00975A24" w:rsidRDefault="00A26385" w:rsidP="00975A24">
      <w:pPr>
        <w:pStyle w:val="ListeParagraf"/>
        <w:numPr>
          <w:ilvl w:val="0"/>
          <w:numId w:val="2"/>
        </w:numPr>
        <w:jc w:val="both"/>
        <w:rPr>
          <w:rFonts w:asciiTheme="majorBidi" w:hAnsiTheme="majorBidi" w:cstheme="majorBidi"/>
          <w:sz w:val="24"/>
          <w:szCs w:val="24"/>
        </w:rPr>
      </w:pPr>
      <w:r w:rsidRPr="00975A24">
        <w:rPr>
          <w:rFonts w:asciiTheme="majorBidi" w:hAnsiTheme="majorBidi" w:cstheme="majorBidi"/>
          <w:sz w:val="24"/>
          <w:szCs w:val="24"/>
        </w:rPr>
        <w:t>akademik içerik ve müfredat yeterliliği,</w:t>
      </w:r>
    </w:p>
    <w:p w14:paraId="43BD189B" w14:textId="77777777" w:rsidR="00975A24" w:rsidRPr="00975A24" w:rsidRDefault="00A26385" w:rsidP="00975A24">
      <w:pPr>
        <w:pStyle w:val="ListeParagraf"/>
        <w:numPr>
          <w:ilvl w:val="0"/>
          <w:numId w:val="2"/>
        </w:numPr>
        <w:jc w:val="both"/>
        <w:rPr>
          <w:rFonts w:asciiTheme="majorBidi" w:hAnsiTheme="majorBidi" w:cstheme="majorBidi"/>
          <w:sz w:val="24"/>
          <w:szCs w:val="24"/>
        </w:rPr>
      </w:pPr>
      <w:r w:rsidRPr="00975A24">
        <w:rPr>
          <w:rFonts w:asciiTheme="majorBidi" w:hAnsiTheme="majorBidi" w:cstheme="majorBidi"/>
          <w:sz w:val="24"/>
          <w:szCs w:val="24"/>
        </w:rPr>
        <w:t>danışmanlık hizmetlerinin etkinliği,</w:t>
      </w:r>
    </w:p>
    <w:p w14:paraId="46FF4331" w14:textId="77777777" w:rsidR="00975A24" w:rsidRPr="00975A24" w:rsidRDefault="00A26385" w:rsidP="00975A24">
      <w:pPr>
        <w:pStyle w:val="ListeParagraf"/>
        <w:numPr>
          <w:ilvl w:val="0"/>
          <w:numId w:val="2"/>
        </w:numPr>
        <w:jc w:val="both"/>
        <w:rPr>
          <w:rFonts w:asciiTheme="majorBidi" w:hAnsiTheme="majorBidi" w:cstheme="majorBidi"/>
          <w:sz w:val="24"/>
          <w:szCs w:val="24"/>
        </w:rPr>
      </w:pPr>
      <w:r w:rsidRPr="00975A24">
        <w:rPr>
          <w:rFonts w:asciiTheme="majorBidi" w:hAnsiTheme="majorBidi" w:cstheme="majorBidi"/>
          <w:sz w:val="24"/>
          <w:szCs w:val="24"/>
        </w:rPr>
        <w:t>öğretim elemanlarının akademik yetkinliği,</w:t>
      </w:r>
    </w:p>
    <w:p w14:paraId="659E07A5" w14:textId="7A983E3F" w:rsidR="00975A24" w:rsidRPr="00975A24" w:rsidRDefault="00A26385" w:rsidP="00975A24">
      <w:pPr>
        <w:pStyle w:val="ListeParagraf"/>
        <w:numPr>
          <w:ilvl w:val="0"/>
          <w:numId w:val="2"/>
        </w:numPr>
        <w:jc w:val="both"/>
        <w:rPr>
          <w:rFonts w:asciiTheme="majorBidi" w:hAnsiTheme="majorBidi" w:cstheme="majorBidi"/>
          <w:sz w:val="24"/>
          <w:szCs w:val="24"/>
        </w:rPr>
      </w:pPr>
      <w:r w:rsidRPr="00975A24">
        <w:rPr>
          <w:rFonts w:asciiTheme="majorBidi" w:hAnsiTheme="majorBidi" w:cstheme="majorBidi"/>
          <w:sz w:val="24"/>
          <w:szCs w:val="24"/>
        </w:rPr>
        <w:t>ölçme ve değerlendirme süreçlerinin şeffaflığı</w:t>
      </w:r>
      <w:r w:rsidR="00975A24" w:rsidRPr="00975A24">
        <w:rPr>
          <w:rFonts w:asciiTheme="majorBidi" w:hAnsiTheme="majorBidi" w:cstheme="majorBidi"/>
          <w:sz w:val="24"/>
          <w:szCs w:val="24"/>
        </w:rPr>
        <w:t>,</w:t>
      </w:r>
    </w:p>
    <w:p w14:paraId="3BC9639A" w14:textId="77777777" w:rsidR="00975A24" w:rsidRPr="00975A24" w:rsidRDefault="00A26385" w:rsidP="00975A24">
      <w:pPr>
        <w:pStyle w:val="ListeParagraf"/>
        <w:numPr>
          <w:ilvl w:val="0"/>
          <w:numId w:val="2"/>
        </w:numPr>
        <w:jc w:val="both"/>
        <w:rPr>
          <w:rFonts w:asciiTheme="majorBidi" w:hAnsiTheme="majorBidi" w:cstheme="majorBidi"/>
          <w:sz w:val="24"/>
          <w:szCs w:val="24"/>
        </w:rPr>
      </w:pPr>
      <w:r w:rsidRPr="00975A24">
        <w:rPr>
          <w:rFonts w:asciiTheme="majorBidi" w:hAnsiTheme="majorBidi" w:cstheme="majorBidi"/>
          <w:sz w:val="24"/>
          <w:szCs w:val="24"/>
        </w:rPr>
        <w:t>araştırma ve akademik üretim odaklılık</w:t>
      </w:r>
      <w:r w:rsidR="00975A24" w:rsidRPr="00975A24">
        <w:rPr>
          <w:rFonts w:asciiTheme="majorBidi" w:hAnsiTheme="majorBidi" w:cstheme="majorBidi"/>
          <w:sz w:val="24"/>
          <w:szCs w:val="24"/>
        </w:rPr>
        <w:t>,</w:t>
      </w:r>
    </w:p>
    <w:p w14:paraId="4D32AD09" w14:textId="77777777" w:rsidR="00FB127C" w:rsidRDefault="00A26385" w:rsidP="00FB127C">
      <w:pPr>
        <w:jc w:val="both"/>
        <w:rPr>
          <w:rFonts w:asciiTheme="majorBidi" w:hAnsiTheme="majorBidi" w:cstheme="majorBidi"/>
          <w:sz w:val="24"/>
          <w:szCs w:val="24"/>
        </w:rPr>
      </w:pPr>
      <w:r w:rsidRPr="00A26385">
        <w:rPr>
          <w:rFonts w:asciiTheme="majorBidi" w:hAnsiTheme="majorBidi" w:cstheme="majorBidi"/>
          <w:sz w:val="24"/>
          <w:szCs w:val="24"/>
        </w:rPr>
        <w:t>açılarından son derece güçlü bir yapıya sahip olduğunu göstermektedir. Önceki yıllarla karşılaştırıldığında hemen her başlıkta kayda değer iyileşmelerin sağlanmış olması, bölümün kalite güvence mekanizmalarını etkin biçimde işlettiğini ve öğrenci geri bildirimlerini politika ve uygulamalarına başarıyla yansıttığını ortaya koymaktadır.</w:t>
      </w:r>
    </w:p>
    <w:p w14:paraId="4ACB3599" w14:textId="464E8435" w:rsidR="00A26385" w:rsidRDefault="00A26385" w:rsidP="00FB127C">
      <w:pPr>
        <w:jc w:val="both"/>
        <w:rPr>
          <w:rFonts w:asciiTheme="majorBidi" w:hAnsiTheme="majorBidi" w:cstheme="majorBidi"/>
          <w:sz w:val="24"/>
          <w:szCs w:val="24"/>
        </w:rPr>
      </w:pPr>
      <w:r w:rsidRPr="00A26385">
        <w:rPr>
          <w:rFonts w:asciiTheme="majorBidi" w:hAnsiTheme="majorBidi" w:cstheme="majorBidi"/>
          <w:sz w:val="24"/>
          <w:szCs w:val="24"/>
        </w:rPr>
        <w:t>Bu çerçevede Maliye Bölümü lisansüstü programlarının, nitelikli insan kaynağı yetiştirme, akademik üretimi teşvik etme ve bilimsel katkı sağlama hedefleri doğrultusunda güçlü, sürdürülebilir ve örnek gösterilebilecek bir yapıya ulaştığı değerlendirilmektedir.</w:t>
      </w:r>
    </w:p>
    <w:p w14:paraId="76FC5AB3" w14:textId="77777777" w:rsidR="00AA2594" w:rsidRPr="00A26385" w:rsidRDefault="00AA2594" w:rsidP="00AA2594">
      <w:pPr>
        <w:jc w:val="both"/>
        <w:rPr>
          <w:rFonts w:asciiTheme="majorBidi" w:hAnsiTheme="majorBidi" w:cstheme="majorBidi"/>
          <w:sz w:val="24"/>
          <w:szCs w:val="24"/>
        </w:rPr>
      </w:pPr>
    </w:p>
    <w:p w14:paraId="4A3070A0" w14:textId="77777777" w:rsidR="00AA2594" w:rsidRPr="00A26385" w:rsidRDefault="00AA2594" w:rsidP="00AA2594">
      <w:pPr>
        <w:rPr>
          <w:rFonts w:asciiTheme="majorBidi" w:hAnsiTheme="majorBidi" w:cstheme="majorBidi"/>
          <w:sz w:val="24"/>
          <w:szCs w:val="24"/>
        </w:rPr>
      </w:pPr>
    </w:p>
    <w:p w14:paraId="0A20847D" w14:textId="77777777" w:rsidR="003D6AE6" w:rsidRPr="00A26385" w:rsidRDefault="003D6AE6">
      <w:pPr>
        <w:rPr>
          <w:rFonts w:asciiTheme="majorBidi" w:hAnsiTheme="majorBidi" w:cstheme="majorBidi"/>
          <w:sz w:val="24"/>
          <w:szCs w:val="24"/>
        </w:rPr>
      </w:pPr>
    </w:p>
    <w:sectPr w:rsidR="003D6AE6" w:rsidRPr="00A263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C36F3"/>
    <w:multiLevelType w:val="multilevel"/>
    <w:tmpl w:val="74B4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BF6EB2"/>
    <w:multiLevelType w:val="hybridMultilevel"/>
    <w:tmpl w:val="DBD4EA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59783336">
    <w:abstractNumId w:val="0"/>
  </w:num>
  <w:num w:numId="2" w16cid:durableId="677585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8A"/>
    <w:rsid w:val="00032661"/>
    <w:rsid w:val="000639C5"/>
    <w:rsid w:val="00070EAC"/>
    <w:rsid w:val="00080BE9"/>
    <w:rsid w:val="0009681F"/>
    <w:rsid w:val="000B3947"/>
    <w:rsid w:val="000D0BAC"/>
    <w:rsid w:val="00117FB3"/>
    <w:rsid w:val="00122FB8"/>
    <w:rsid w:val="0013714A"/>
    <w:rsid w:val="00141834"/>
    <w:rsid w:val="00142519"/>
    <w:rsid w:val="00147A15"/>
    <w:rsid w:val="001729F7"/>
    <w:rsid w:val="001A398B"/>
    <w:rsid w:val="001C0D21"/>
    <w:rsid w:val="001C25DB"/>
    <w:rsid w:val="001E0883"/>
    <w:rsid w:val="001E3943"/>
    <w:rsid w:val="00230132"/>
    <w:rsid w:val="00235E94"/>
    <w:rsid w:val="0023782F"/>
    <w:rsid w:val="00246E59"/>
    <w:rsid w:val="0027018F"/>
    <w:rsid w:val="002C3EA5"/>
    <w:rsid w:val="002C46C3"/>
    <w:rsid w:val="002E0670"/>
    <w:rsid w:val="002F5B5B"/>
    <w:rsid w:val="00307ED4"/>
    <w:rsid w:val="0031121F"/>
    <w:rsid w:val="00321BDE"/>
    <w:rsid w:val="003356B3"/>
    <w:rsid w:val="00336E9F"/>
    <w:rsid w:val="00355395"/>
    <w:rsid w:val="00393773"/>
    <w:rsid w:val="003952A5"/>
    <w:rsid w:val="003C6611"/>
    <w:rsid w:val="003D6AE6"/>
    <w:rsid w:val="003E1A2F"/>
    <w:rsid w:val="003F6690"/>
    <w:rsid w:val="004046D3"/>
    <w:rsid w:val="00410070"/>
    <w:rsid w:val="00424689"/>
    <w:rsid w:val="00447CA9"/>
    <w:rsid w:val="00460F18"/>
    <w:rsid w:val="004C12B7"/>
    <w:rsid w:val="004C7E56"/>
    <w:rsid w:val="004D0281"/>
    <w:rsid w:val="004F09BF"/>
    <w:rsid w:val="004F1F6F"/>
    <w:rsid w:val="004F3D30"/>
    <w:rsid w:val="004F482A"/>
    <w:rsid w:val="004F5EF7"/>
    <w:rsid w:val="00504167"/>
    <w:rsid w:val="005223FD"/>
    <w:rsid w:val="00537F5D"/>
    <w:rsid w:val="00560AEB"/>
    <w:rsid w:val="005869C5"/>
    <w:rsid w:val="005B0CD3"/>
    <w:rsid w:val="005C1ABD"/>
    <w:rsid w:val="005D7D3E"/>
    <w:rsid w:val="005F4B65"/>
    <w:rsid w:val="005F5110"/>
    <w:rsid w:val="00600325"/>
    <w:rsid w:val="0061397A"/>
    <w:rsid w:val="00614774"/>
    <w:rsid w:val="00621702"/>
    <w:rsid w:val="00631899"/>
    <w:rsid w:val="00636CD9"/>
    <w:rsid w:val="00647BDE"/>
    <w:rsid w:val="00663B43"/>
    <w:rsid w:val="006658AA"/>
    <w:rsid w:val="00670C79"/>
    <w:rsid w:val="00682974"/>
    <w:rsid w:val="00687DB3"/>
    <w:rsid w:val="0069581D"/>
    <w:rsid w:val="006B10A3"/>
    <w:rsid w:val="006B41B9"/>
    <w:rsid w:val="006C0697"/>
    <w:rsid w:val="006D5705"/>
    <w:rsid w:val="006E117E"/>
    <w:rsid w:val="0072726C"/>
    <w:rsid w:val="00733CAD"/>
    <w:rsid w:val="00757209"/>
    <w:rsid w:val="007624C2"/>
    <w:rsid w:val="0077005F"/>
    <w:rsid w:val="00773623"/>
    <w:rsid w:val="00777C08"/>
    <w:rsid w:val="007B4B53"/>
    <w:rsid w:val="007C5576"/>
    <w:rsid w:val="007D7A5A"/>
    <w:rsid w:val="007E286E"/>
    <w:rsid w:val="00811186"/>
    <w:rsid w:val="00817511"/>
    <w:rsid w:val="00842000"/>
    <w:rsid w:val="008642EF"/>
    <w:rsid w:val="00870E8A"/>
    <w:rsid w:val="00871FD9"/>
    <w:rsid w:val="008C2678"/>
    <w:rsid w:val="008D5A0B"/>
    <w:rsid w:val="00911CEA"/>
    <w:rsid w:val="009259D6"/>
    <w:rsid w:val="00925AF5"/>
    <w:rsid w:val="00947456"/>
    <w:rsid w:val="00954BCE"/>
    <w:rsid w:val="00975A24"/>
    <w:rsid w:val="009A075F"/>
    <w:rsid w:val="009A582B"/>
    <w:rsid w:val="009C2110"/>
    <w:rsid w:val="009F0D91"/>
    <w:rsid w:val="00A26385"/>
    <w:rsid w:val="00A3307A"/>
    <w:rsid w:val="00A42025"/>
    <w:rsid w:val="00A84D86"/>
    <w:rsid w:val="00A87E86"/>
    <w:rsid w:val="00AA2594"/>
    <w:rsid w:val="00AB1717"/>
    <w:rsid w:val="00AB25DB"/>
    <w:rsid w:val="00AB7CFE"/>
    <w:rsid w:val="00B23D58"/>
    <w:rsid w:val="00B36F49"/>
    <w:rsid w:val="00B510E6"/>
    <w:rsid w:val="00B55F79"/>
    <w:rsid w:val="00B71B23"/>
    <w:rsid w:val="00B72284"/>
    <w:rsid w:val="00B85441"/>
    <w:rsid w:val="00BA50CD"/>
    <w:rsid w:val="00C455FF"/>
    <w:rsid w:val="00C56B94"/>
    <w:rsid w:val="00CD2CB5"/>
    <w:rsid w:val="00CE2286"/>
    <w:rsid w:val="00D03689"/>
    <w:rsid w:val="00D1761D"/>
    <w:rsid w:val="00D260E4"/>
    <w:rsid w:val="00D27C06"/>
    <w:rsid w:val="00D43014"/>
    <w:rsid w:val="00D71F33"/>
    <w:rsid w:val="00D86710"/>
    <w:rsid w:val="00D90161"/>
    <w:rsid w:val="00D96597"/>
    <w:rsid w:val="00DB2BFD"/>
    <w:rsid w:val="00DC3699"/>
    <w:rsid w:val="00DC6D53"/>
    <w:rsid w:val="00DD3447"/>
    <w:rsid w:val="00DD65DE"/>
    <w:rsid w:val="00DF7E8D"/>
    <w:rsid w:val="00E231C9"/>
    <w:rsid w:val="00E2349E"/>
    <w:rsid w:val="00E618D9"/>
    <w:rsid w:val="00E76E99"/>
    <w:rsid w:val="00E80CEF"/>
    <w:rsid w:val="00EA1845"/>
    <w:rsid w:val="00EA2909"/>
    <w:rsid w:val="00EB1602"/>
    <w:rsid w:val="00EB6CE3"/>
    <w:rsid w:val="00EE1BDB"/>
    <w:rsid w:val="00F278A6"/>
    <w:rsid w:val="00F42A34"/>
    <w:rsid w:val="00F44BC7"/>
    <w:rsid w:val="00F57742"/>
    <w:rsid w:val="00F87FD8"/>
    <w:rsid w:val="00F94D5C"/>
    <w:rsid w:val="00F97D5D"/>
    <w:rsid w:val="00FA3CFD"/>
    <w:rsid w:val="00FB03B6"/>
    <w:rsid w:val="00FB127C"/>
    <w:rsid w:val="00FD35C5"/>
    <w:rsid w:val="00FF39F3"/>
    <w:rsid w:val="00FF425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BC64"/>
  <w15:chartTrackingRefBased/>
  <w15:docId w15:val="{E6995A3A-C941-4D7F-AE9B-28C9561A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594"/>
  </w:style>
  <w:style w:type="paragraph" w:styleId="Balk1">
    <w:name w:val="heading 1"/>
    <w:basedOn w:val="Normal"/>
    <w:next w:val="Normal"/>
    <w:link w:val="Balk1Char"/>
    <w:uiPriority w:val="9"/>
    <w:qFormat/>
    <w:rsid w:val="00870E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870E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70E8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70E8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70E8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70E8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70E8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70E8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70E8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70E8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870E8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70E8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70E8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70E8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70E8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70E8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70E8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70E8A"/>
    <w:rPr>
      <w:rFonts w:eastAsiaTheme="majorEastAsia" w:cstheme="majorBidi"/>
      <w:color w:val="272727" w:themeColor="text1" w:themeTint="D8"/>
    </w:rPr>
  </w:style>
  <w:style w:type="paragraph" w:styleId="KonuBal">
    <w:name w:val="Title"/>
    <w:basedOn w:val="Normal"/>
    <w:next w:val="Normal"/>
    <w:link w:val="KonuBalChar"/>
    <w:uiPriority w:val="10"/>
    <w:qFormat/>
    <w:rsid w:val="00870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70E8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70E8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70E8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70E8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70E8A"/>
    <w:rPr>
      <w:i/>
      <w:iCs/>
      <w:color w:val="404040" w:themeColor="text1" w:themeTint="BF"/>
    </w:rPr>
  </w:style>
  <w:style w:type="paragraph" w:styleId="ListeParagraf">
    <w:name w:val="List Paragraph"/>
    <w:basedOn w:val="Normal"/>
    <w:uiPriority w:val="34"/>
    <w:qFormat/>
    <w:rsid w:val="00870E8A"/>
    <w:pPr>
      <w:ind w:left="720"/>
      <w:contextualSpacing/>
    </w:pPr>
  </w:style>
  <w:style w:type="character" w:styleId="GlVurgulama">
    <w:name w:val="Intense Emphasis"/>
    <w:basedOn w:val="VarsaylanParagrafYazTipi"/>
    <w:uiPriority w:val="21"/>
    <w:qFormat/>
    <w:rsid w:val="00870E8A"/>
    <w:rPr>
      <w:i/>
      <w:iCs/>
      <w:color w:val="2F5496" w:themeColor="accent1" w:themeShade="BF"/>
    </w:rPr>
  </w:style>
  <w:style w:type="paragraph" w:styleId="GlAlnt">
    <w:name w:val="Intense Quote"/>
    <w:basedOn w:val="Normal"/>
    <w:next w:val="Normal"/>
    <w:link w:val="GlAlntChar"/>
    <w:uiPriority w:val="30"/>
    <w:qFormat/>
    <w:rsid w:val="00870E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70E8A"/>
    <w:rPr>
      <w:i/>
      <w:iCs/>
      <w:color w:val="2F5496" w:themeColor="accent1" w:themeShade="BF"/>
    </w:rPr>
  </w:style>
  <w:style w:type="character" w:styleId="GlBavuru">
    <w:name w:val="Intense Reference"/>
    <w:basedOn w:val="VarsaylanParagrafYazTipi"/>
    <w:uiPriority w:val="32"/>
    <w:qFormat/>
    <w:rsid w:val="00870E8A"/>
    <w:rPr>
      <w:b/>
      <w:bCs/>
      <w:smallCaps/>
      <w:color w:val="2F5496" w:themeColor="accent1" w:themeShade="BF"/>
      <w:spacing w:val="5"/>
    </w:rPr>
  </w:style>
  <w:style w:type="paragraph" w:styleId="NormalWeb">
    <w:name w:val="Normal (Web)"/>
    <w:basedOn w:val="Normal"/>
    <w:uiPriority w:val="99"/>
    <w:semiHidden/>
    <w:unhideWhenUsed/>
    <w:rsid w:val="00307ED4"/>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307E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 Type="http://schemas.openxmlformats.org/officeDocument/2006/relationships/settings" Target="settings.xml"/><Relationship Id="rId21" Type="http://schemas.openxmlformats.org/officeDocument/2006/relationships/chart" Target="charts/chart17.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2" Type="http://schemas.openxmlformats.org/officeDocument/2006/relationships/styles" Target="styles.xml"/><Relationship Id="rId16" Type="http://schemas.openxmlformats.org/officeDocument/2006/relationships/chart" Target="charts/chart12.xml"/><Relationship Id="rId20" Type="http://schemas.openxmlformats.org/officeDocument/2006/relationships/chart" Target="charts/chart16.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1"/>
              <c:tx>
                <c:rich>
                  <a:bodyPr/>
                  <a:lstStyle/>
                  <a:p>
                    <a:fld id="{14CEE4F3-8C9F-4DE2-92ED-AF5A0C12143A}"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CC5-4232-A31A-A15D4C4D17E1}"/>
                </c:ext>
              </c:extLst>
            </c:dLbl>
            <c:dLbl>
              <c:idx val="2"/>
              <c:tx>
                <c:rich>
                  <a:bodyPr/>
                  <a:lstStyle/>
                  <a:p>
                    <a:fld id="{C8904A29-2A26-4E73-BF40-2CE0F32501D5}"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CC5-4232-A31A-A15D4C4D17E1}"/>
                </c:ext>
              </c:extLst>
            </c:dLbl>
            <c:dLbl>
              <c:idx val="3"/>
              <c:tx>
                <c:rich>
                  <a:bodyPr/>
                  <a:lstStyle/>
                  <a:p>
                    <a:fld id="{48A7AB25-403A-4115-AD45-990F007E0631}"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CC5-4232-A31A-A15D4C4D17E1}"/>
                </c:ext>
              </c:extLst>
            </c:dLbl>
            <c:dLbl>
              <c:idx val="4"/>
              <c:tx>
                <c:rich>
                  <a:bodyPr/>
                  <a:lstStyle/>
                  <a:p>
                    <a:fld id="{58B51164-8B8C-4AB9-B83F-B10A48DA3D0F}" type="VALUE">
                      <a:rPr lang="en-US"/>
                      <a:pPr/>
                      <a:t>[DEĞER]</a:t>
                    </a:fld>
                    <a:r>
                      <a:rPr lang="en-US"/>
                      <a:t>(%83)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CC5-4232-A31A-A15D4C4D17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3">
                  <c:v>1</c:v>
                </c:pt>
                <c:pt idx="4">
                  <c:v>5</c:v>
                </c:pt>
              </c:numCache>
            </c:numRef>
          </c:val>
          <c:extLst>
            <c:ext xmlns:c16="http://schemas.microsoft.com/office/drawing/2014/chart" uri="{C3380CC4-5D6E-409C-BE32-E72D297353CC}">
              <c16:uniqueId val="{00000004-6CC5-4232-A31A-A15D4C4D17E1}"/>
            </c:ext>
          </c:extLst>
        </c:ser>
        <c:dLbls>
          <c:showLegendKey val="0"/>
          <c:showVal val="0"/>
          <c:showCatName val="0"/>
          <c:showSerName val="0"/>
          <c:showPercent val="0"/>
          <c:showBubbleSize val="0"/>
        </c:dLbls>
        <c:gapWidth val="219"/>
        <c:overlap val="-27"/>
        <c:axId val="1259773344"/>
        <c:axId val="1259773824"/>
      </c:barChart>
      <c:catAx>
        <c:axId val="1259773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59773824"/>
        <c:crosses val="autoZero"/>
        <c:auto val="1"/>
        <c:lblAlgn val="ctr"/>
        <c:lblOffset val="100"/>
        <c:noMultiLvlLbl val="0"/>
      </c:catAx>
      <c:valAx>
        <c:axId val="1259773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597733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1"/>
              <c:tx>
                <c:rich>
                  <a:bodyPr/>
                  <a:lstStyle/>
                  <a:p>
                    <a:fld id="{F4F12F08-C984-481E-8539-AD2417AC82A0}" type="VALUE">
                      <a:rPr lang="en-US"/>
                      <a:pPr/>
                      <a:t>[DEĞER]</a:t>
                    </a:fld>
                    <a:r>
                      <a:rPr lang="en-US"/>
                      <a:t>(%34)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1F5-4FB6-8995-2C1D038ED5B6}"/>
                </c:ext>
              </c:extLst>
            </c:dLbl>
            <c:dLbl>
              <c:idx val="3"/>
              <c:tx>
                <c:rich>
                  <a:bodyPr/>
                  <a:lstStyle/>
                  <a:p>
                    <a:fld id="{E746F096-09CB-468B-8BA4-AF993C51DB0C}"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1F5-4FB6-8995-2C1D038ED5B6}"/>
                </c:ext>
              </c:extLst>
            </c:dLbl>
            <c:dLbl>
              <c:idx val="4"/>
              <c:tx>
                <c:rich>
                  <a:bodyPr/>
                  <a:lstStyle/>
                  <a:p>
                    <a:fld id="{274E0F9F-31B2-48B1-8186-A3AE3E849BD8}" type="VALUE">
                      <a:rPr lang="en-US"/>
                      <a:pPr/>
                      <a:t>[DEĞER]</a:t>
                    </a:fld>
                    <a:r>
                      <a:rPr lang="en-US"/>
                      <a:t>(%83)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1F5-4FB6-8995-2C1D038ED5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3">
                  <c:v>1</c:v>
                </c:pt>
                <c:pt idx="4">
                  <c:v>5</c:v>
                </c:pt>
              </c:numCache>
            </c:numRef>
          </c:val>
          <c:extLst>
            <c:ext xmlns:c16="http://schemas.microsoft.com/office/drawing/2014/chart" uri="{C3380CC4-5D6E-409C-BE32-E72D297353CC}">
              <c16:uniqueId val="{00000002-B1F5-4FB6-8995-2C1D038ED5B6}"/>
            </c:ext>
          </c:extLst>
        </c:ser>
        <c:dLbls>
          <c:showLegendKey val="0"/>
          <c:showVal val="0"/>
          <c:showCatName val="0"/>
          <c:showSerName val="0"/>
          <c:showPercent val="0"/>
          <c:showBubbleSize val="0"/>
        </c:dLbls>
        <c:gapWidth val="219"/>
        <c:overlap val="-27"/>
        <c:axId val="1132018448"/>
        <c:axId val="1132023248"/>
      </c:barChart>
      <c:catAx>
        <c:axId val="113201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32023248"/>
        <c:crosses val="autoZero"/>
        <c:auto val="1"/>
        <c:lblAlgn val="ctr"/>
        <c:lblOffset val="100"/>
        <c:noMultiLvlLbl val="0"/>
      </c:catAx>
      <c:valAx>
        <c:axId val="1132023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320184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1"/>
              <c:tx>
                <c:rich>
                  <a:bodyPr/>
                  <a:lstStyle/>
                  <a:p>
                    <a:fld id="{CF9114FF-0C5A-4B2B-A8FF-2947342931B6}"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A39-4D54-844B-CB314774705E}"/>
                </c:ext>
              </c:extLst>
            </c:dLbl>
            <c:dLbl>
              <c:idx val="2"/>
              <c:tx>
                <c:rich>
                  <a:bodyPr/>
                  <a:lstStyle/>
                  <a:p>
                    <a:fld id="{61286ED4-88FD-4C1A-83D2-D4BC85335671}"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A39-4D54-844B-CB314774705E}"/>
                </c:ext>
              </c:extLst>
            </c:dLbl>
            <c:dLbl>
              <c:idx val="3"/>
              <c:tx>
                <c:rich>
                  <a:bodyPr/>
                  <a:lstStyle/>
                  <a:p>
                    <a:fld id="{21A162DC-570C-4DD9-85C4-63F3771957B8}"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A39-4D54-844B-CB314774705E}"/>
                </c:ext>
              </c:extLst>
            </c:dLbl>
            <c:dLbl>
              <c:idx val="4"/>
              <c:tx>
                <c:rich>
                  <a:bodyPr/>
                  <a:lstStyle/>
                  <a:p>
                    <a:fld id="{449DFC69-E792-4FE2-A6AD-BD75CF438002}" type="VALUE">
                      <a:rPr lang="en-US"/>
                      <a:pPr/>
                      <a:t>[DEĞER]</a:t>
                    </a:fld>
                    <a:r>
                      <a:rPr lang="en-US"/>
                      <a:t>((%67)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A39-4D54-844B-CB314774705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2">
                  <c:v>1</c:v>
                </c:pt>
                <c:pt idx="3">
                  <c:v>1</c:v>
                </c:pt>
                <c:pt idx="4">
                  <c:v>4</c:v>
                </c:pt>
              </c:numCache>
            </c:numRef>
          </c:val>
          <c:extLst>
            <c:ext xmlns:c16="http://schemas.microsoft.com/office/drawing/2014/chart" uri="{C3380CC4-5D6E-409C-BE32-E72D297353CC}">
              <c16:uniqueId val="{00000004-BA39-4D54-844B-CB314774705E}"/>
            </c:ext>
          </c:extLst>
        </c:ser>
        <c:dLbls>
          <c:showLegendKey val="0"/>
          <c:showVal val="0"/>
          <c:showCatName val="0"/>
          <c:showSerName val="0"/>
          <c:showPercent val="0"/>
          <c:showBubbleSize val="0"/>
        </c:dLbls>
        <c:gapWidth val="219"/>
        <c:overlap val="-27"/>
        <c:axId val="1359176831"/>
        <c:axId val="1359178751"/>
      </c:barChart>
      <c:catAx>
        <c:axId val="1359176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59178751"/>
        <c:crosses val="autoZero"/>
        <c:auto val="1"/>
        <c:lblAlgn val="ctr"/>
        <c:lblOffset val="100"/>
        <c:noMultiLvlLbl val="0"/>
      </c:catAx>
      <c:valAx>
        <c:axId val="13591787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591768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2"/>
              <c:tx>
                <c:rich>
                  <a:bodyPr/>
                  <a:lstStyle/>
                  <a:p>
                    <a:fld id="{759AEB6A-F57A-4F2C-A2E7-3C430A27ED6E}"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2A5-42A3-9A64-4D8F911E7E76}"/>
                </c:ext>
              </c:extLst>
            </c:dLbl>
            <c:dLbl>
              <c:idx val="3"/>
              <c:tx>
                <c:rich>
                  <a:bodyPr/>
                  <a:lstStyle/>
                  <a:p>
                    <a:fld id="{FDBF5546-29AB-4F44-AB0E-0ABE55A374B2}"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2A5-42A3-9A64-4D8F911E7E76}"/>
                </c:ext>
              </c:extLst>
            </c:dLbl>
            <c:dLbl>
              <c:idx val="4"/>
              <c:tx>
                <c:rich>
                  <a:bodyPr/>
                  <a:lstStyle/>
                  <a:p>
                    <a:fld id="{42B42542-4409-4A3E-A250-8431B7DE518B}" type="VALUE">
                      <a:rPr lang="en-US"/>
                      <a:pPr/>
                      <a:t>[DEĞER]</a:t>
                    </a:fld>
                    <a:r>
                      <a:rPr lang="en-US"/>
                      <a:t>(%83)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2A5-42A3-9A64-4D8F911E7E7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3">
                  <c:v>1</c:v>
                </c:pt>
                <c:pt idx="4">
                  <c:v>5</c:v>
                </c:pt>
              </c:numCache>
            </c:numRef>
          </c:val>
          <c:extLst>
            <c:ext xmlns:c16="http://schemas.microsoft.com/office/drawing/2014/chart" uri="{C3380CC4-5D6E-409C-BE32-E72D297353CC}">
              <c16:uniqueId val="{00000003-D2A5-42A3-9A64-4D8F911E7E76}"/>
            </c:ext>
          </c:extLst>
        </c:ser>
        <c:dLbls>
          <c:showLegendKey val="0"/>
          <c:showVal val="0"/>
          <c:showCatName val="0"/>
          <c:showSerName val="0"/>
          <c:showPercent val="0"/>
          <c:showBubbleSize val="0"/>
        </c:dLbls>
        <c:gapWidth val="219"/>
        <c:overlap val="-27"/>
        <c:axId val="350839583"/>
        <c:axId val="1202485440"/>
      </c:barChart>
      <c:catAx>
        <c:axId val="350839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02485440"/>
        <c:crosses val="autoZero"/>
        <c:auto val="1"/>
        <c:lblAlgn val="ctr"/>
        <c:lblOffset val="100"/>
        <c:noMultiLvlLbl val="0"/>
      </c:catAx>
      <c:valAx>
        <c:axId val="1202485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5083958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3"/>
              <c:tx>
                <c:rich>
                  <a:bodyPr/>
                  <a:lstStyle/>
                  <a:p>
                    <a:r>
                      <a:rPr lang="en-US"/>
                      <a:t>1(%17)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B0C-4A00-9A2A-0009A9C398AD}"/>
                </c:ext>
              </c:extLst>
            </c:dLbl>
            <c:dLbl>
              <c:idx val="4"/>
              <c:tx>
                <c:rich>
                  <a:bodyPr/>
                  <a:lstStyle/>
                  <a:p>
                    <a:fld id="{29AAC7D4-7750-426F-A884-33BD50C4E18A}" type="VALUE">
                      <a:rPr lang="en-US"/>
                      <a:pPr/>
                      <a:t>[DEĞER]</a:t>
                    </a:fld>
                    <a:r>
                      <a:rPr lang="en-US"/>
                      <a:t>(%83)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B0C-4A00-9A2A-0009A9C398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3">
                  <c:v>1</c:v>
                </c:pt>
                <c:pt idx="4">
                  <c:v>5</c:v>
                </c:pt>
              </c:numCache>
            </c:numRef>
          </c:val>
          <c:extLst>
            <c:ext xmlns:c16="http://schemas.microsoft.com/office/drawing/2014/chart" uri="{C3380CC4-5D6E-409C-BE32-E72D297353CC}">
              <c16:uniqueId val="{00000002-AB0C-4A00-9A2A-0009A9C398AD}"/>
            </c:ext>
          </c:extLst>
        </c:ser>
        <c:dLbls>
          <c:showLegendKey val="0"/>
          <c:showVal val="0"/>
          <c:showCatName val="0"/>
          <c:showSerName val="0"/>
          <c:showPercent val="0"/>
          <c:showBubbleSize val="0"/>
        </c:dLbls>
        <c:gapWidth val="219"/>
        <c:overlap val="-27"/>
        <c:axId val="737396319"/>
        <c:axId val="1202482560"/>
      </c:barChart>
      <c:catAx>
        <c:axId val="737396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02482560"/>
        <c:crosses val="autoZero"/>
        <c:auto val="1"/>
        <c:lblAlgn val="ctr"/>
        <c:lblOffset val="100"/>
        <c:noMultiLvlLbl val="0"/>
      </c:catAx>
      <c:valAx>
        <c:axId val="1202482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73739631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2"/>
              <c:tx>
                <c:rich>
                  <a:bodyPr/>
                  <a:lstStyle/>
                  <a:p>
                    <a:fld id="{75FBF9D9-136C-46F9-93BA-A1438B7FDEC4}"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A5D-4566-91CA-A90C9CBF0F82}"/>
                </c:ext>
              </c:extLst>
            </c:dLbl>
            <c:dLbl>
              <c:idx val="3"/>
              <c:tx>
                <c:rich>
                  <a:bodyPr/>
                  <a:lstStyle/>
                  <a:p>
                    <a:fld id="{35944EF0-1D67-4097-8887-C0EDE9ED7893}"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A5D-4566-91CA-A90C9CBF0F82}"/>
                </c:ext>
              </c:extLst>
            </c:dLbl>
            <c:dLbl>
              <c:idx val="4"/>
              <c:tx>
                <c:rich>
                  <a:bodyPr/>
                  <a:lstStyle/>
                  <a:p>
                    <a:fld id="{389B6F30-2F55-40E6-8C25-1063E2C6F518}" type="VALUE">
                      <a:rPr lang="en-US"/>
                      <a:pPr/>
                      <a:t>[DEĞER]</a:t>
                    </a:fld>
                    <a:r>
                      <a:rPr lang="en-US"/>
                      <a:t>(%83)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A5D-4566-91CA-A90C9CBF0F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3">
                  <c:v>1</c:v>
                </c:pt>
                <c:pt idx="4">
                  <c:v>5</c:v>
                </c:pt>
              </c:numCache>
            </c:numRef>
          </c:val>
          <c:extLst>
            <c:ext xmlns:c16="http://schemas.microsoft.com/office/drawing/2014/chart" uri="{C3380CC4-5D6E-409C-BE32-E72D297353CC}">
              <c16:uniqueId val="{00000003-8A5D-4566-91CA-A90C9CBF0F82}"/>
            </c:ext>
          </c:extLst>
        </c:ser>
        <c:dLbls>
          <c:showLegendKey val="0"/>
          <c:showVal val="0"/>
          <c:showCatName val="0"/>
          <c:showSerName val="0"/>
          <c:showPercent val="0"/>
          <c:showBubbleSize val="0"/>
        </c:dLbls>
        <c:gapWidth val="219"/>
        <c:overlap val="-27"/>
        <c:axId val="1301306815"/>
        <c:axId val="1301304895"/>
      </c:barChart>
      <c:catAx>
        <c:axId val="1301306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01304895"/>
        <c:crosses val="autoZero"/>
        <c:auto val="1"/>
        <c:lblAlgn val="ctr"/>
        <c:lblOffset val="100"/>
        <c:noMultiLvlLbl val="0"/>
      </c:catAx>
      <c:valAx>
        <c:axId val="1301304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013068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1"/>
              <c:tx>
                <c:rich>
                  <a:bodyPr/>
                  <a:lstStyle/>
                  <a:p>
                    <a:fld id="{72142F74-0333-4A35-9D7E-62B47ECE936F}"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D69-47F9-9BBC-82EC0713E164}"/>
                </c:ext>
              </c:extLst>
            </c:dLbl>
            <c:dLbl>
              <c:idx val="2"/>
              <c:tx>
                <c:rich>
                  <a:bodyPr/>
                  <a:lstStyle/>
                  <a:p>
                    <a:fld id="{D5B86549-F470-453F-BD61-7964E8F2C0F7}"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D69-47F9-9BBC-82EC0713E164}"/>
                </c:ext>
              </c:extLst>
            </c:dLbl>
            <c:dLbl>
              <c:idx val="3"/>
              <c:tx>
                <c:rich>
                  <a:bodyPr/>
                  <a:lstStyle/>
                  <a:p>
                    <a:fld id="{1D116535-4D25-4271-A9B4-8A35AB3128C2}"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D69-47F9-9BBC-82EC0713E164}"/>
                </c:ext>
              </c:extLst>
            </c:dLbl>
            <c:dLbl>
              <c:idx val="4"/>
              <c:tx>
                <c:rich>
                  <a:bodyPr/>
                  <a:lstStyle/>
                  <a:p>
                    <a:r>
                      <a:rPr lang="en-US"/>
                      <a:t>5(%83)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D69-47F9-9BBC-82EC0713E16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3">
                  <c:v>1</c:v>
                </c:pt>
                <c:pt idx="4">
                  <c:v>5</c:v>
                </c:pt>
              </c:numCache>
            </c:numRef>
          </c:val>
          <c:extLst>
            <c:ext xmlns:c16="http://schemas.microsoft.com/office/drawing/2014/chart" uri="{C3380CC4-5D6E-409C-BE32-E72D297353CC}">
              <c16:uniqueId val="{00000003-CD69-47F9-9BBC-82EC0713E164}"/>
            </c:ext>
          </c:extLst>
        </c:ser>
        <c:dLbls>
          <c:showLegendKey val="0"/>
          <c:showVal val="0"/>
          <c:showCatName val="0"/>
          <c:showSerName val="0"/>
          <c:showPercent val="0"/>
          <c:showBubbleSize val="0"/>
        </c:dLbls>
        <c:gapWidth val="219"/>
        <c:overlap val="-27"/>
        <c:axId val="1301304415"/>
        <c:axId val="1301305375"/>
      </c:barChart>
      <c:catAx>
        <c:axId val="13013044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01305375"/>
        <c:crosses val="autoZero"/>
        <c:auto val="1"/>
        <c:lblAlgn val="ctr"/>
        <c:lblOffset val="100"/>
        <c:noMultiLvlLbl val="0"/>
      </c:catAx>
      <c:valAx>
        <c:axId val="13013053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013044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1"/>
              <c:tx>
                <c:rich>
                  <a:bodyPr/>
                  <a:lstStyle/>
                  <a:p>
                    <a:fld id="{D3D449D5-4558-4D96-ADEF-AC896941DF77}"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CD7-4325-9A45-B0C79D67E636}"/>
                </c:ext>
              </c:extLst>
            </c:dLbl>
            <c:dLbl>
              <c:idx val="2"/>
              <c:tx>
                <c:rich>
                  <a:bodyPr/>
                  <a:lstStyle/>
                  <a:p>
                    <a:fld id="{C66F9539-A0D8-4F2E-9F1C-15AAF2835C78}"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DCD7-4325-9A45-B0C79D67E636}"/>
                </c:ext>
              </c:extLst>
            </c:dLbl>
            <c:dLbl>
              <c:idx val="3"/>
              <c:tx>
                <c:rich>
                  <a:bodyPr/>
                  <a:lstStyle/>
                  <a:p>
                    <a:fld id="{D86CE6F2-0DD9-4FE6-8D2D-FC00AB8FF417}"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CD7-4325-9A45-B0C79D67E636}"/>
                </c:ext>
              </c:extLst>
            </c:dLbl>
            <c:dLbl>
              <c:idx val="4"/>
              <c:tx>
                <c:rich>
                  <a:bodyPr/>
                  <a:lstStyle/>
                  <a:p>
                    <a:fld id="{B1990A39-7B10-49BA-9706-69F79FEF02FC}" type="VALUE">
                      <a:rPr lang="en-US"/>
                      <a:pPr/>
                      <a:t>[DEĞER]</a:t>
                    </a:fld>
                    <a:r>
                      <a:rPr lang="en-US"/>
                      <a:t>(%83)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CD7-4325-9A45-B0C79D67E63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3">
                  <c:v>1</c:v>
                </c:pt>
                <c:pt idx="4">
                  <c:v>5</c:v>
                </c:pt>
              </c:numCache>
            </c:numRef>
          </c:val>
          <c:extLst>
            <c:ext xmlns:c16="http://schemas.microsoft.com/office/drawing/2014/chart" uri="{C3380CC4-5D6E-409C-BE32-E72D297353CC}">
              <c16:uniqueId val="{00000003-DCD7-4325-9A45-B0C79D67E636}"/>
            </c:ext>
          </c:extLst>
        </c:ser>
        <c:dLbls>
          <c:showLegendKey val="0"/>
          <c:showVal val="0"/>
          <c:showCatName val="0"/>
          <c:showSerName val="0"/>
          <c:showPercent val="0"/>
          <c:showBubbleSize val="0"/>
        </c:dLbls>
        <c:gapWidth val="219"/>
        <c:overlap val="-27"/>
        <c:axId val="381580511"/>
        <c:axId val="381581471"/>
      </c:barChart>
      <c:catAx>
        <c:axId val="381580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81581471"/>
        <c:crosses val="autoZero"/>
        <c:auto val="1"/>
        <c:lblAlgn val="ctr"/>
        <c:lblOffset val="100"/>
        <c:noMultiLvlLbl val="0"/>
      </c:catAx>
      <c:valAx>
        <c:axId val="3815814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8158051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3"/>
              <c:tx>
                <c:rich>
                  <a:bodyPr/>
                  <a:lstStyle/>
                  <a:p>
                    <a:fld id="{ABC93A67-C75C-411C-8893-6FFCAEB36987}"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2FDB-4D12-96F9-3277FC43B538}"/>
                </c:ext>
              </c:extLst>
            </c:dLbl>
            <c:dLbl>
              <c:idx val="4"/>
              <c:tx>
                <c:rich>
                  <a:bodyPr/>
                  <a:lstStyle/>
                  <a:p>
                    <a:fld id="{55D9BA27-7285-492F-873E-24019D013748}" type="VALUE">
                      <a:rPr lang="en-US"/>
                      <a:pPr/>
                      <a:t>[DEĞER]</a:t>
                    </a:fld>
                    <a:r>
                      <a:rPr lang="en-US"/>
                      <a:t>(%83)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FDB-4D12-96F9-3277FC43B53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3">
                  <c:v>1</c:v>
                </c:pt>
                <c:pt idx="4">
                  <c:v>5</c:v>
                </c:pt>
              </c:numCache>
            </c:numRef>
          </c:val>
          <c:extLst>
            <c:ext xmlns:c16="http://schemas.microsoft.com/office/drawing/2014/chart" uri="{C3380CC4-5D6E-409C-BE32-E72D297353CC}">
              <c16:uniqueId val="{00000002-2FDB-4D12-96F9-3277FC43B538}"/>
            </c:ext>
          </c:extLst>
        </c:ser>
        <c:dLbls>
          <c:showLegendKey val="0"/>
          <c:showVal val="0"/>
          <c:showCatName val="0"/>
          <c:showSerName val="0"/>
          <c:showPercent val="0"/>
          <c:showBubbleSize val="0"/>
        </c:dLbls>
        <c:gapWidth val="219"/>
        <c:overlap val="-27"/>
        <c:axId val="1278878544"/>
        <c:axId val="1278873264"/>
      </c:barChart>
      <c:catAx>
        <c:axId val="1278878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78873264"/>
        <c:crosses val="autoZero"/>
        <c:auto val="1"/>
        <c:lblAlgn val="ctr"/>
        <c:lblOffset val="100"/>
        <c:noMultiLvlLbl val="0"/>
      </c:catAx>
      <c:valAx>
        <c:axId val="1278873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788785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3"/>
              <c:tx>
                <c:rich>
                  <a:bodyPr/>
                  <a:lstStyle/>
                  <a:p>
                    <a:fld id="{8E51E835-9C9A-4E0E-A30E-BBCA69CD3DF0}"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336-46A9-B385-433B337E3F5C}"/>
                </c:ext>
              </c:extLst>
            </c:dLbl>
            <c:dLbl>
              <c:idx val="4"/>
              <c:tx>
                <c:rich>
                  <a:bodyPr/>
                  <a:lstStyle/>
                  <a:p>
                    <a:fld id="{B6FC38C7-04AA-44C1-9652-0A76961E9CF6}" type="VALUE">
                      <a:rPr lang="en-US"/>
                      <a:pPr/>
                      <a:t>[DEĞER]</a:t>
                    </a:fld>
                    <a:r>
                      <a:rPr lang="en-US"/>
                      <a:t>(%100)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336-46A9-B385-433B337E3F5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4">
                  <c:v>6</c:v>
                </c:pt>
              </c:numCache>
            </c:numRef>
          </c:val>
          <c:extLst>
            <c:ext xmlns:c16="http://schemas.microsoft.com/office/drawing/2014/chart" uri="{C3380CC4-5D6E-409C-BE32-E72D297353CC}">
              <c16:uniqueId val="{00000002-E336-46A9-B385-433B337E3F5C}"/>
            </c:ext>
          </c:extLst>
        </c:ser>
        <c:dLbls>
          <c:showLegendKey val="0"/>
          <c:showVal val="0"/>
          <c:showCatName val="0"/>
          <c:showSerName val="0"/>
          <c:showPercent val="0"/>
          <c:showBubbleSize val="0"/>
        </c:dLbls>
        <c:gapWidth val="219"/>
        <c:overlap val="-27"/>
        <c:axId val="610962367"/>
        <c:axId val="610953727"/>
      </c:barChart>
      <c:catAx>
        <c:axId val="610962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10953727"/>
        <c:crosses val="autoZero"/>
        <c:auto val="1"/>
        <c:lblAlgn val="ctr"/>
        <c:lblOffset val="100"/>
        <c:noMultiLvlLbl val="0"/>
      </c:catAx>
      <c:valAx>
        <c:axId val="6109537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1096236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2"/>
              <c:tx>
                <c:rich>
                  <a:bodyPr/>
                  <a:lstStyle/>
                  <a:p>
                    <a:fld id="{249C04C4-9578-42CE-9600-7B21C1F6CDE7}"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A02-4FB1-BE13-ADDEDD224057}"/>
                </c:ext>
              </c:extLst>
            </c:dLbl>
            <c:dLbl>
              <c:idx val="4"/>
              <c:tx>
                <c:rich>
                  <a:bodyPr/>
                  <a:lstStyle/>
                  <a:p>
                    <a:fld id="{2FFDBB82-DA8E-498F-995B-84C863190C6A}" type="VALUE">
                      <a:rPr lang="en-US"/>
                      <a:pPr/>
                      <a:t>[DEĞER]</a:t>
                    </a:fld>
                    <a:r>
                      <a:rPr lang="en-US"/>
                      <a:t>(%100)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A02-4FB1-BE13-ADDEDD2240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4">
                  <c:v>6</c:v>
                </c:pt>
              </c:numCache>
            </c:numRef>
          </c:val>
          <c:extLst>
            <c:ext xmlns:c16="http://schemas.microsoft.com/office/drawing/2014/chart" uri="{C3380CC4-5D6E-409C-BE32-E72D297353CC}">
              <c16:uniqueId val="{00000002-7A02-4FB1-BE13-ADDEDD224057}"/>
            </c:ext>
          </c:extLst>
        </c:ser>
        <c:dLbls>
          <c:showLegendKey val="0"/>
          <c:showVal val="0"/>
          <c:showCatName val="0"/>
          <c:showSerName val="0"/>
          <c:showPercent val="0"/>
          <c:showBubbleSize val="0"/>
        </c:dLbls>
        <c:gapWidth val="219"/>
        <c:overlap val="-27"/>
        <c:axId val="1278877104"/>
        <c:axId val="1278874704"/>
      </c:barChart>
      <c:catAx>
        <c:axId val="1278877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78874704"/>
        <c:crosses val="autoZero"/>
        <c:auto val="1"/>
        <c:lblAlgn val="ctr"/>
        <c:lblOffset val="100"/>
        <c:noMultiLvlLbl val="0"/>
      </c:catAx>
      <c:valAx>
        <c:axId val="1278874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788771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tx>
                <c:rich>
                  <a:bodyPr/>
                  <a:lstStyle/>
                  <a:p>
                    <a:fld id="{BF6137B5-35F2-4074-B44A-CEAEA9D17BCF}"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C54-4677-B7E8-882519D50A5F}"/>
                </c:ext>
              </c:extLst>
            </c:dLbl>
            <c:dLbl>
              <c:idx val="1"/>
              <c:tx>
                <c:rich>
                  <a:bodyPr/>
                  <a:lstStyle/>
                  <a:p>
                    <a:fld id="{234CF9FB-EEAC-478B-91BA-0601D3AA811F}"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C54-4677-B7E8-882519D50A5F}"/>
                </c:ext>
              </c:extLst>
            </c:dLbl>
            <c:dLbl>
              <c:idx val="3"/>
              <c:tx>
                <c:rich>
                  <a:bodyPr/>
                  <a:lstStyle/>
                  <a:p>
                    <a:fld id="{9D642624-DDEA-4C04-9D7E-4AA0370C2FAB}"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C54-4677-B7E8-882519D50A5F}"/>
                </c:ext>
              </c:extLst>
            </c:dLbl>
            <c:dLbl>
              <c:idx val="4"/>
              <c:tx>
                <c:rich>
                  <a:bodyPr/>
                  <a:lstStyle/>
                  <a:p>
                    <a:fld id="{9EDC30A9-9811-4F15-BFEF-9916BFA6C364}" type="VALUE">
                      <a:rPr lang="en-US"/>
                      <a:pPr/>
                      <a:t>[DEĞER]</a:t>
                    </a:fld>
                    <a:r>
                      <a:rPr lang="en-US"/>
                      <a:t>(%67)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C54-4677-B7E8-882519D50A5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3">
                  <c:v>2</c:v>
                </c:pt>
                <c:pt idx="4">
                  <c:v>4</c:v>
                </c:pt>
              </c:numCache>
            </c:numRef>
          </c:val>
          <c:extLst>
            <c:ext xmlns:c16="http://schemas.microsoft.com/office/drawing/2014/chart" uri="{C3380CC4-5D6E-409C-BE32-E72D297353CC}">
              <c16:uniqueId val="{00000004-AC54-4677-B7E8-882519D50A5F}"/>
            </c:ext>
          </c:extLst>
        </c:ser>
        <c:dLbls>
          <c:showLegendKey val="0"/>
          <c:showVal val="0"/>
          <c:showCatName val="0"/>
          <c:showSerName val="0"/>
          <c:showPercent val="0"/>
          <c:showBubbleSize val="0"/>
        </c:dLbls>
        <c:gapWidth val="219"/>
        <c:overlap val="-27"/>
        <c:axId val="1080967072"/>
        <c:axId val="1080967552"/>
      </c:barChart>
      <c:catAx>
        <c:axId val="1080967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080967552"/>
        <c:crosses val="autoZero"/>
        <c:auto val="1"/>
        <c:lblAlgn val="ctr"/>
        <c:lblOffset val="100"/>
        <c:noMultiLvlLbl val="0"/>
      </c:catAx>
      <c:valAx>
        <c:axId val="1080967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0809670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2"/>
              <c:tx>
                <c:rich>
                  <a:bodyPr/>
                  <a:lstStyle/>
                  <a:p>
                    <a:fld id="{249C04C4-9578-42CE-9600-7B21C1F6CDE7}"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AFE-4725-A98A-1D2F5654F49F}"/>
                </c:ext>
              </c:extLst>
            </c:dLbl>
            <c:dLbl>
              <c:idx val="4"/>
              <c:tx>
                <c:rich>
                  <a:bodyPr/>
                  <a:lstStyle/>
                  <a:p>
                    <a:fld id="{2FFDBB82-DA8E-498F-995B-84C863190C6A}" type="VALUE">
                      <a:rPr lang="en-US"/>
                      <a:pPr/>
                      <a:t>[DEĞER]</a:t>
                    </a:fld>
                    <a:r>
                      <a:rPr lang="en-US"/>
                      <a:t>(%100)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AFE-4725-A98A-1D2F5654F4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4">
                  <c:v>6</c:v>
                </c:pt>
              </c:numCache>
            </c:numRef>
          </c:val>
          <c:extLst>
            <c:ext xmlns:c16="http://schemas.microsoft.com/office/drawing/2014/chart" uri="{C3380CC4-5D6E-409C-BE32-E72D297353CC}">
              <c16:uniqueId val="{00000002-FAFE-4725-A98A-1D2F5654F49F}"/>
            </c:ext>
          </c:extLst>
        </c:ser>
        <c:dLbls>
          <c:showLegendKey val="0"/>
          <c:showVal val="0"/>
          <c:showCatName val="0"/>
          <c:showSerName val="0"/>
          <c:showPercent val="0"/>
          <c:showBubbleSize val="0"/>
        </c:dLbls>
        <c:gapWidth val="219"/>
        <c:overlap val="-27"/>
        <c:axId val="1278877104"/>
        <c:axId val="1278874704"/>
      </c:barChart>
      <c:catAx>
        <c:axId val="1278877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78874704"/>
        <c:crosses val="autoZero"/>
        <c:auto val="1"/>
        <c:lblAlgn val="ctr"/>
        <c:lblOffset val="100"/>
        <c:noMultiLvlLbl val="0"/>
      </c:catAx>
      <c:valAx>
        <c:axId val="1278874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788771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2"/>
              <c:tx>
                <c:rich>
                  <a:bodyPr/>
                  <a:lstStyle/>
                  <a:p>
                    <a:fld id="{249C04C4-9578-42CE-9600-7B21C1F6CDE7}"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9C4-427A-BA70-706AC2F60EA6}"/>
                </c:ext>
              </c:extLst>
            </c:dLbl>
            <c:dLbl>
              <c:idx val="4"/>
              <c:tx>
                <c:rich>
                  <a:bodyPr/>
                  <a:lstStyle/>
                  <a:p>
                    <a:fld id="{2FFDBB82-DA8E-498F-995B-84C863190C6A}" type="VALUE">
                      <a:rPr lang="en-US"/>
                      <a:pPr/>
                      <a:t>[DEĞER]</a:t>
                    </a:fld>
                    <a:r>
                      <a:rPr lang="en-US"/>
                      <a:t>(%100)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9C4-427A-BA70-706AC2F60E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4">
                  <c:v>6</c:v>
                </c:pt>
              </c:numCache>
            </c:numRef>
          </c:val>
          <c:extLst>
            <c:ext xmlns:c16="http://schemas.microsoft.com/office/drawing/2014/chart" uri="{C3380CC4-5D6E-409C-BE32-E72D297353CC}">
              <c16:uniqueId val="{00000002-D9C4-427A-BA70-706AC2F60EA6}"/>
            </c:ext>
          </c:extLst>
        </c:ser>
        <c:dLbls>
          <c:showLegendKey val="0"/>
          <c:showVal val="0"/>
          <c:showCatName val="0"/>
          <c:showSerName val="0"/>
          <c:showPercent val="0"/>
          <c:showBubbleSize val="0"/>
        </c:dLbls>
        <c:gapWidth val="219"/>
        <c:overlap val="-27"/>
        <c:axId val="1278877104"/>
        <c:axId val="1278874704"/>
      </c:barChart>
      <c:catAx>
        <c:axId val="1278877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78874704"/>
        <c:crosses val="autoZero"/>
        <c:auto val="1"/>
        <c:lblAlgn val="ctr"/>
        <c:lblOffset val="100"/>
        <c:noMultiLvlLbl val="0"/>
      </c:catAx>
      <c:valAx>
        <c:axId val="1278874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788771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2"/>
              <c:tx>
                <c:rich>
                  <a:bodyPr/>
                  <a:lstStyle/>
                  <a:p>
                    <a:fld id="{249C04C4-9578-42CE-9600-7B21C1F6CDE7}"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DC4-4356-8CDE-E2AB63480B3D}"/>
                </c:ext>
              </c:extLst>
            </c:dLbl>
            <c:dLbl>
              <c:idx val="4"/>
              <c:tx>
                <c:rich>
                  <a:bodyPr/>
                  <a:lstStyle/>
                  <a:p>
                    <a:fld id="{2FFDBB82-DA8E-498F-995B-84C863190C6A}" type="VALUE">
                      <a:rPr lang="en-US"/>
                      <a:pPr/>
                      <a:t>[DEĞER]</a:t>
                    </a:fld>
                    <a:r>
                      <a:rPr lang="en-US"/>
                      <a:t>(%83)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DC4-4356-8CDE-E2AB63480B3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4">
                  <c:v>6</c:v>
                </c:pt>
              </c:numCache>
            </c:numRef>
          </c:val>
          <c:extLst>
            <c:ext xmlns:c16="http://schemas.microsoft.com/office/drawing/2014/chart" uri="{C3380CC4-5D6E-409C-BE32-E72D297353CC}">
              <c16:uniqueId val="{00000002-0DC4-4356-8CDE-E2AB63480B3D}"/>
            </c:ext>
          </c:extLst>
        </c:ser>
        <c:dLbls>
          <c:showLegendKey val="0"/>
          <c:showVal val="0"/>
          <c:showCatName val="0"/>
          <c:showSerName val="0"/>
          <c:showPercent val="0"/>
          <c:showBubbleSize val="0"/>
        </c:dLbls>
        <c:gapWidth val="219"/>
        <c:overlap val="-27"/>
        <c:axId val="1278877104"/>
        <c:axId val="1278874704"/>
      </c:barChart>
      <c:catAx>
        <c:axId val="1278877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78874704"/>
        <c:crosses val="autoZero"/>
        <c:auto val="1"/>
        <c:lblAlgn val="ctr"/>
        <c:lblOffset val="100"/>
        <c:noMultiLvlLbl val="0"/>
      </c:catAx>
      <c:valAx>
        <c:axId val="1278874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788771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2"/>
              <c:tx>
                <c:rich>
                  <a:bodyPr/>
                  <a:lstStyle/>
                  <a:p>
                    <a:fld id="{39BCB7DF-6220-4583-B514-62231F41818A}"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33C-4403-9DC3-98763327504B}"/>
                </c:ext>
              </c:extLst>
            </c:dLbl>
            <c:dLbl>
              <c:idx val="3"/>
              <c:tx>
                <c:rich>
                  <a:bodyPr/>
                  <a:lstStyle/>
                  <a:p>
                    <a:fld id="{BD2AEA85-47B8-4F00-858A-27BE518C5317}" type="VALUE">
                      <a:rPr lang="en-US"/>
                      <a:pPr/>
                      <a:t>[DEĞER]</a:t>
                    </a:fld>
                    <a:r>
                      <a:rPr lang="en-US"/>
                      <a:t>(%34)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33C-4403-9DC3-98763327504B}"/>
                </c:ext>
              </c:extLst>
            </c:dLbl>
            <c:dLbl>
              <c:idx val="4"/>
              <c:tx>
                <c:rich>
                  <a:bodyPr/>
                  <a:lstStyle/>
                  <a:p>
                    <a:fld id="{0B3222AE-89E1-4781-95B4-2F8233BF4C7A}" type="VALUE">
                      <a:rPr lang="en-US"/>
                      <a:pPr/>
                      <a:t>[DEĞER]</a:t>
                    </a:fld>
                    <a:r>
                      <a:rPr lang="en-US"/>
                      <a:t>(%100)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33C-4403-9DC3-98763327504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4">
                  <c:v>6</c:v>
                </c:pt>
              </c:numCache>
            </c:numRef>
          </c:val>
          <c:extLst>
            <c:ext xmlns:c16="http://schemas.microsoft.com/office/drawing/2014/chart" uri="{C3380CC4-5D6E-409C-BE32-E72D297353CC}">
              <c16:uniqueId val="{00000003-633C-4403-9DC3-98763327504B}"/>
            </c:ext>
          </c:extLst>
        </c:ser>
        <c:dLbls>
          <c:showLegendKey val="0"/>
          <c:showVal val="0"/>
          <c:showCatName val="0"/>
          <c:showSerName val="0"/>
          <c:showPercent val="0"/>
          <c:showBubbleSize val="0"/>
        </c:dLbls>
        <c:gapWidth val="219"/>
        <c:overlap val="-27"/>
        <c:axId val="1124653408"/>
        <c:axId val="1124655808"/>
      </c:barChart>
      <c:catAx>
        <c:axId val="1124653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24655808"/>
        <c:crosses val="autoZero"/>
        <c:auto val="1"/>
        <c:lblAlgn val="ctr"/>
        <c:lblOffset val="100"/>
        <c:noMultiLvlLbl val="0"/>
      </c:catAx>
      <c:valAx>
        <c:axId val="1124655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246534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3"/>
              <c:tx>
                <c:rich>
                  <a:bodyPr/>
                  <a:lstStyle/>
                  <a:p>
                    <a:fld id="{896DE75B-393C-4C11-8B55-F7B93EE59130}"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D48-44F1-8748-D953BD4283BD}"/>
                </c:ext>
              </c:extLst>
            </c:dLbl>
            <c:dLbl>
              <c:idx val="4"/>
              <c:tx>
                <c:rich>
                  <a:bodyPr/>
                  <a:lstStyle/>
                  <a:p>
                    <a:fld id="{F462E124-8107-4B58-A0AA-2410CC56A54E}" type="VALUE">
                      <a:rPr lang="en-US"/>
                      <a:pPr/>
                      <a:t>[DEĞER]</a:t>
                    </a:fld>
                    <a:r>
                      <a:rPr lang="en-US"/>
                      <a:t>()%83)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D48-44F1-8748-D953BD4283B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3">
                  <c:v>1</c:v>
                </c:pt>
                <c:pt idx="4">
                  <c:v>5</c:v>
                </c:pt>
              </c:numCache>
            </c:numRef>
          </c:val>
          <c:extLst>
            <c:ext xmlns:c16="http://schemas.microsoft.com/office/drawing/2014/chart" uri="{C3380CC4-5D6E-409C-BE32-E72D297353CC}">
              <c16:uniqueId val="{00000000-6D48-44F1-8748-D953BD4283BD}"/>
            </c:ext>
          </c:extLst>
        </c:ser>
        <c:dLbls>
          <c:showLegendKey val="0"/>
          <c:showVal val="0"/>
          <c:showCatName val="0"/>
          <c:showSerName val="0"/>
          <c:showPercent val="0"/>
          <c:showBubbleSize val="0"/>
        </c:dLbls>
        <c:gapWidth val="219"/>
        <c:overlap val="-27"/>
        <c:axId val="500925007"/>
        <c:axId val="500940847"/>
      </c:barChart>
      <c:catAx>
        <c:axId val="500925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00940847"/>
        <c:crosses val="autoZero"/>
        <c:auto val="1"/>
        <c:lblAlgn val="ctr"/>
        <c:lblOffset val="100"/>
        <c:noMultiLvlLbl val="0"/>
      </c:catAx>
      <c:valAx>
        <c:axId val="5009408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009250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tx>
                <c:rich>
                  <a:bodyPr/>
                  <a:lstStyle/>
                  <a:p>
                    <a:fld id="{BF6137B5-35F2-4074-B44A-CEAEA9D17BCF}"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070-4293-99C5-893BF18A1C97}"/>
                </c:ext>
              </c:extLst>
            </c:dLbl>
            <c:dLbl>
              <c:idx val="1"/>
              <c:tx>
                <c:rich>
                  <a:bodyPr/>
                  <a:lstStyle/>
                  <a:p>
                    <a:fld id="{234CF9FB-EEAC-478B-91BA-0601D3AA811F}"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070-4293-99C5-893BF18A1C97}"/>
                </c:ext>
              </c:extLst>
            </c:dLbl>
            <c:dLbl>
              <c:idx val="3"/>
              <c:tx>
                <c:rich>
                  <a:bodyPr/>
                  <a:lstStyle/>
                  <a:p>
                    <a:fld id="{9D642624-DDEA-4C04-9D7E-4AA0370C2FAB}"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070-4293-99C5-893BF18A1C97}"/>
                </c:ext>
              </c:extLst>
            </c:dLbl>
            <c:dLbl>
              <c:idx val="4"/>
              <c:tx>
                <c:rich>
                  <a:bodyPr/>
                  <a:lstStyle/>
                  <a:p>
                    <a:fld id="{9EDC30A9-9811-4F15-BFEF-9916BFA6C364}" type="VALUE">
                      <a:rPr lang="en-US"/>
                      <a:pPr/>
                      <a:t>[DEĞER]</a:t>
                    </a:fld>
                    <a:r>
                      <a:rPr lang="en-US"/>
                      <a:t>(%63)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070-4293-99C5-893BF18A1C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3">
                  <c:v>2</c:v>
                </c:pt>
                <c:pt idx="4">
                  <c:v>4</c:v>
                </c:pt>
              </c:numCache>
            </c:numRef>
          </c:val>
          <c:extLst>
            <c:ext xmlns:c16="http://schemas.microsoft.com/office/drawing/2014/chart" uri="{C3380CC4-5D6E-409C-BE32-E72D297353CC}">
              <c16:uniqueId val="{00000004-6070-4293-99C5-893BF18A1C97}"/>
            </c:ext>
          </c:extLst>
        </c:ser>
        <c:dLbls>
          <c:showLegendKey val="0"/>
          <c:showVal val="0"/>
          <c:showCatName val="0"/>
          <c:showSerName val="0"/>
          <c:showPercent val="0"/>
          <c:showBubbleSize val="0"/>
        </c:dLbls>
        <c:gapWidth val="219"/>
        <c:overlap val="-27"/>
        <c:axId val="1080967072"/>
        <c:axId val="1080967552"/>
      </c:barChart>
      <c:catAx>
        <c:axId val="1080967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080967552"/>
        <c:crosses val="autoZero"/>
        <c:auto val="1"/>
        <c:lblAlgn val="ctr"/>
        <c:lblOffset val="100"/>
        <c:noMultiLvlLbl val="0"/>
      </c:catAx>
      <c:valAx>
        <c:axId val="1080967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0809670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3"/>
              <c:tx>
                <c:rich>
                  <a:bodyPr/>
                  <a:lstStyle/>
                  <a:p>
                    <a:fld id="{CB1DDE7A-90E2-421F-858F-8636B3E42960}"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4BE-4A85-91AB-91DA82B6AA81}"/>
                </c:ext>
              </c:extLst>
            </c:dLbl>
            <c:dLbl>
              <c:idx val="4"/>
              <c:tx>
                <c:rich>
                  <a:bodyPr/>
                  <a:lstStyle/>
                  <a:p>
                    <a:fld id="{FB633E20-E330-41CD-850C-B6FF82DF951F}" type="VALUE">
                      <a:rPr lang="en-US"/>
                      <a:pPr/>
                      <a:t>[DEĞER]</a:t>
                    </a:fld>
                    <a:r>
                      <a:rPr lang="en-US"/>
                      <a:t>(%83)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4BE-4A85-91AB-91DA82B6AA8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5"/>
                <c:pt idx="0">
                  <c:v>Kesinlikle Katılmıyorum</c:v>
                </c:pt>
                <c:pt idx="1">
                  <c:v>Katılmıyorum</c:v>
                </c:pt>
                <c:pt idx="2">
                  <c:v>Kararsızım</c:v>
                </c:pt>
                <c:pt idx="3">
                  <c:v>Katılıyorum</c:v>
                </c:pt>
                <c:pt idx="4">
                  <c:v>Kesinlikle Katılıyorum</c:v>
                </c:pt>
              </c:strCache>
            </c:strRef>
          </c:cat>
          <c:val>
            <c:numRef>
              <c:f>Sayfa1!$B$2:$B$7</c:f>
              <c:numCache>
                <c:formatCode>General</c:formatCode>
                <c:ptCount val="6"/>
                <c:pt idx="3">
                  <c:v>1</c:v>
                </c:pt>
                <c:pt idx="4">
                  <c:v>5</c:v>
                </c:pt>
              </c:numCache>
            </c:numRef>
          </c:val>
          <c:extLst>
            <c:ext xmlns:c16="http://schemas.microsoft.com/office/drawing/2014/chart" uri="{C3380CC4-5D6E-409C-BE32-E72D297353CC}">
              <c16:uniqueId val="{00000000-B4BE-4A85-91AB-91DA82B6AA81}"/>
            </c:ext>
          </c:extLst>
        </c:ser>
        <c:dLbls>
          <c:showLegendKey val="0"/>
          <c:showVal val="0"/>
          <c:showCatName val="0"/>
          <c:showSerName val="0"/>
          <c:showPercent val="0"/>
          <c:showBubbleSize val="0"/>
        </c:dLbls>
        <c:gapWidth val="219"/>
        <c:overlap val="-27"/>
        <c:axId val="1389186480"/>
        <c:axId val="1389186960"/>
      </c:barChart>
      <c:catAx>
        <c:axId val="1389186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89186960"/>
        <c:crosses val="autoZero"/>
        <c:auto val="1"/>
        <c:lblAlgn val="ctr"/>
        <c:lblOffset val="100"/>
        <c:noMultiLvlLbl val="0"/>
      </c:catAx>
      <c:valAx>
        <c:axId val="1389186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891864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tx>
                <c:rich>
                  <a:bodyPr/>
                  <a:lstStyle/>
                  <a:p>
                    <a:fld id="{9E24A418-0B5C-4C8C-909C-6FE79871E294}"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C01-41EA-8355-785BB65BE5BF}"/>
                </c:ext>
              </c:extLst>
            </c:dLbl>
            <c:dLbl>
              <c:idx val="1"/>
              <c:tx>
                <c:rich>
                  <a:bodyPr/>
                  <a:lstStyle/>
                  <a:p>
                    <a:fld id="{25E0D486-9DDD-4B52-9B68-160D5F21CBF4}"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C01-41EA-8355-785BB65BE5BF}"/>
                </c:ext>
              </c:extLst>
            </c:dLbl>
            <c:dLbl>
              <c:idx val="2"/>
              <c:tx>
                <c:rich>
                  <a:bodyPr/>
                  <a:lstStyle/>
                  <a:p>
                    <a:fld id="{DDFC2D8E-4589-4287-81CD-C9554D95A9BF}"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C01-41EA-8355-785BB65BE5BF}"/>
                </c:ext>
              </c:extLst>
            </c:dLbl>
            <c:dLbl>
              <c:idx val="3"/>
              <c:tx>
                <c:rich>
                  <a:bodyPr/>
                  <a:lstStyle/>
                  <a:p>
                    <a:fld id="{01A67B65-C134-4664-BC5A-341F9A1CBC0D}"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C01-41EA-8355-785BB65BE5BF}"/>
                </c:ext>
              </c:extLst>
            </c:dLbl>
            <c:dLbl>
              <c:idx val="4"/>
              <c:tx>
                <c:rich>
                  <a:bodyPr/>
                  <a:lstStyle/>
                  <a:p>
                    <a:fld id="{E8BBAEE0-BDCC-4C81-9520-D269C2862FA0}" type="VALUE">
                      <a:rPr lang="en-US"/>
                      <a:pPr/>
                      <a:t>[DEĞER]</a:t>
                    </a:fld>
                    <a:r>
                      <a:rPr lang="en-US"/>
                      <a:t>(%50)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C01-41EA-8355-785BB65BE5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2">
                  <c:v>2</c:v>
                </c:pt>
                <c:pt idx="3">
                  <c:v>1</c:v>
                </c:pt>
                <c:pt idx="4">
                  <c:v>3</c:v>
                </c:pt>
              </c:numCache>
            </c:numRef>
          </c:val>
          <c:extLst>
            <c:ext xmlns:c16="http://schemas.microsoft.com/office/drawing/2014/chart" uri="{C3380CC4-5D6E-409C-BE32-E72D297353CC}">
              <c16:uniqueId val="{00000004-CC01-41EA-8355-785BB65BE5BF}"/>
            </c:ext>
          </c:extLst>
        </c:ser>
        <c:dLbls>
          <c:showLegendKey val="0"/>
          <c:showVal val="0"/>
          <c:showCatName val="0"/>
          <c:showSerName val="0"/>
          <c:showPercent val="0"/>
          <c:showBubbleSize val="0"/>
        </c:dLbls>
        <c:gapWidth val="219"/>
        <c:overlap val="-27"/>
        <c:axId val="1342243295"/>
        <c:axId val="1342243775"/>
      </c:barChart>
      <c:catAx>
        <c:axId val="1342243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42243775"/>
        <c:crosses val="autoZero"/>
        <c:auto val="1"/>
        <c:lblAlgn val="ctr"/>
        <c:lblOffset val="100"/>
        <c:noMultiLvlLbl val="0"/>
      </c:catAx>
      <c:valAx>
        <c:axId val="13422437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422432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2"/>
              <c:tx>
                <c:rich>
                  <a:bodyPr/>
                  <a:lstStyle/>
                  <a:p>
                    <a:fld id="{8CBAE7D9-48C1-40EE-A469-DFA3305B9131}" type="VALUE">
                      <a:rPr lang="en-US"/>
                      <a:pPr/>
                      <a:t>[DEĞER]</a:t>
                    </a:fld>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AA7-4CCB-BCE6-82BDEE6A43E7}"/>
                </c:ext>
              </c:extLst>
            </c:dLbl>
            <c:dLbl>
              <c:idx val="3"/>
              <c:tx>
                <c:rich>
                  <a:bodyPr/>
                  <a:lstStyle/>
                  <a:p>
                    <a:fld id="{A83C87B5-0C59-47B0-A7BF-6B6DD3C00B71}"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AA7-4CCB-BCE6-82BDEE6A43E7}"/>
                </c:ext>
              </c:extLst>
            </c:dLbl>
            <c:dLbl>
              <c:idx val="4"/>
              <c:tx>
                <c:rich>
                  <a:bodyPr/>
                  <a:lstStyle/>
                  <a:p>
                    <a:fld id="{204313EC-D00B-46E5-9082-1F21AA737035}" type="VALUE">
                      <a:rPr lang="en-US"/>
                      <a:pPr/>
                      <a:t>[DEĞER]</a:t>
                    </a:fld>
                    <a:r>
                      <a:rPr lang="en-US"/>
                      <a:t>(%%83)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AA7-4CCB-BCE6-82BDEE6A43E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3">
                  <c:v>1</c:v>
                </c:pt>
                <c:pt idx="4">
                  <c:v>5</c:v>
                </c:pt>
              </c:numCache>
            </c:numRef>
          </c:val>
          <c:extLst>
            <c:ext xmlns:c16="http://schemas.microsoft.com/office/drawing/2014/chart" uri="{C3380CC4-5D6E-409C-BE32-E72D297353CC}">
              <c16:uniqueId val="{00000003-8AA7-4CCB-BCE6-82BDEE6A43E7}"/>
            </c:ext>
          </c:extLst>
        </c:ser>
        <c:dLbls>
          <c:showLegendKey val="0"/>
          <c:showVal val="0"/>
          <c:showCatName val="0"/>
          <c:showSerName val="0"/>
          <c:showPercent val="0"/>
          <c:showBubbleSize val="0"/>
        </c:dLbls>
        <c:gapWidth val="219"/>
        <c:overlap val="-27"/>
        <c:axId val="423055055"/>
        <c:axId val="423057935"/>
      </c:barChart>
      <c:catAx>
        <c:axId val="423055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23057935"/>
        <c:crosses val="autoZero"/>
        <c:auto val="1"/>
        <c:lblAlgn val="ctr"/>
        <c:lblOffset val="100"/>
        <c:noMultiLvlLbl val="0"/>
      </c:catAx>
      <c:valAx>
        <c:axId val="4230579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230550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2"/>
              <c:tx>
                <c:rich>
                  <a:bodyPr/>
                  <a:lstStyle/>
                  <a:p>
                    <a:fld id="{E750E48D-486C-4661-B7B5-E6A342C32707}"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F37-445B-AF90-8D2E113B0662}"/>
                </c:ext>
              </c:extLst>
            </c:dLbl>
            <c:dLbl>
              <c:idx val="3"/>
              <c:tx>
                <c:rich>
                  <a:bodyPr/>
                  <a:lstStyle/>
                  <a:p>
                    <a:fld id="{C4253A6D-9C48-4D12-8F8D-AF76F34BD579}"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F37-445B-AF90-8D2E113B0662}"/>
                </c:ext>
              </c:extLst>
            </c:dLbl>
            <c:dLbl>
              <c:idx val="4"/>
              <c:tx>
                <c:rich>
                  <a:bodyPr/>
                  <a:lstStyle/>
                  <a:p>
                    <a:fld id="{A13FDCFC-AD6B-4F28-9B11-39270DB95479}" type="VALUE">
                      <a:rPr lang="en-US"/>
                      <a:pPr/>
                      <a:t>[DEĞER]</a:t>
                    </a:fld>
                    <a:r>
                      <a:rPr lang="en-US"/>
                      <a:t>(%100)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F37-445B-AF90-8D2E113B066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4">
                  <c:v>6</c:v>
                </c:pt>
              </c:numCache>
            </c:numRef>
          </c:val>
          <c:extLst>
            <c:ext xmlns:c16="http://schemas.microsoft.com/office/drawing/2014/chart" uri="{C3380CC4-5D6E-409C-BE32-E72D297353CC}">
              <c16:uniqueId val="{00000003-DF37-445B-AF90-8D2E113B0662}"/>
            </c:ext>
          </c:extLst>
        </c:ser>
        <c:dLbls>
          <c:showLegendKey val="0"/>
          <c:showVal val="0"/>
          <c:showCatName val="0"/>
          <c:showSerName val="0"/>
          <c:showPercent val="0"/>
          <c:showBubbleSize val="0"/>
        </c:dLbls>
        <c:gapWidth val="219"/>
        <c:overlap val="-27"/>
        <c:axId val="1356791119"/>
        <c:axId val="1356798799"/>
      </c:barChart>
      <c:catAx>
        <c:axId val="1356791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56798799"/>
        <c:crosses val="autoZero"/>
        <c:auto val="1"/>
        <c:lblAlgn val="ctr"/>
        <c:lblOffset val="100"/>
        <c:noMultiLvlLbl val="0"/>
      </c:catAx>
      <c:valAx>
        <c:axId val="13567987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5679111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12</Pages>
  <Words>3491</Words>
  <Characters>19902</Characters>
  <Application>Microsoft Office Word</Application>
  <DocSecurity>0</DocSecurity>
  <Lines>165</Lines>
  <Paragraphs>46</Paragraphs>
  <ScaleCrop>false</ScaleCrop>
  <Company/>
  <LinksUpToDate>false</LinksUpToDate>
  <CharactersWithSpaces>23347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Yakup Taşdemir</dc:creator>
  <cp:keywords/>
  <dc:description/>
  <cp:lastModifiedBy>Yakup Taşdemir</cp:lastModifiedBy>
  <cp:revision>169</cp:revision>
  <dcterms:created xsi:type="dcterms:W3CDTF">2026-01-12T00:21:00Z</dcterms:created>
  <dcterms:modified xsi:type="dcterms:W3CDTF">2026-01-12T02:32:00Z</dcterms:modified>
</cp:coreProperties>
</file>