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opFromText="120" w:vertAnchor="text" w:tblpY="120"/>
        <w:tblW w:w="10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3"/>
        <w:gridCol w:w="1537"/>
        <w:gridCol w:w="1537"/>
      </w:tblGrid>
      <w:tr w:rsidR="00C24CF1" w14:paraId="7D4E2290" w14:textId="77777777" w:rsidTr="00FD35C0">
        <w:trPr>
          <w:cantSplit/>
          <w:trHeight w:val="1134"/>
        </w:trPr>
        <w:tc>
          <w:tcPr>
            <w:tcW w:w="7283" w:type="dxa"/>
            <w:shd w:val="clear" w:color="auto" w:fill="FFFFFF"/>
            <w:vAlign w:val="center"/>
          </w:tcPr>
          <w:p w14:paraId="04AD8A90"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Maliye Bölümü Lisans Stratejik Plan Değerlendirme Anketi</w:t>
            </w:r>
          </w:p>
        </w:tc>
        <w:tc>
          <w:tcPr>
            <w:tcW w:w="1537" w:type="dxa"/>
            <w:shd w:val="clear" w:color="auto" w:fill="FFFFFF"/>
            <w:vAlign w:val="center"/>
          </w:tcPr>
          <w:p w14:paraId="10A9643F" w14:textId="77777777" w:rsidR="00C24CF1" w:rsidRDefault="00C24CF1" w:rsidP="00FD35C0">
            <w:pPr>
              <w:spacing w:after="0" w:line="100" w:lineRule="atLeast"/>
              <w:ind w:left="113" w:right="113"/>
              <w:rPr>
                <w:rFonts w:ascii="Times New Roman" w:hAnsi="Times New Roman" w:cs="Times New Roman"/>
                <w:b/>
                <w:bCs/>
                <w:sz w:val="24"/>
                <w:szCs w:val="24"/>
              </w:rPr>
            </w:pPr>
            <w:r>
              <w:rPr>
                <w:rFonts w:ascii="Times New Roman" w:hAnsi="Times New Roman" w:cs="Times New Roman"/>
                <w:b/>
                <w:bCs/>
                <w:sz w:val="24"/>
                <w:szCs w:val="24"/>
              </w:rPr>
              <w:t>Genel Toplam</w:t>
            </w:r>
          </w:p>
        </w:tc>
        <w:tc>
          <w:tcPr>
            <w:tcW w:w="1537" w:type="dxa"/>
            <w:shd w:val="clear" w:color="auto" w:fill="FFFFFF"/>
            <w:vAlign w:val="center"/>
          </w:tcPr>
          <w:p w14:paraId="4D7785A0" w14:textId="77777777" w:rsidR="00C24CF1" w:rsidRDefault="00C24CF1" w:rsidP="00FD35C0">
            <w:pPr>
              <w:spacing w:after="0" w:line="100" w:lineRule="atLeast"/>
              <w:ind w:left="113" w:right="113"/>
              <w:rPr>
                <w:rFonts w:ascii="Times New Roman" w:hAnsi="Times New Roman" w:cs="Times New Roman"/>
                <w:b/>
                <w:bCs/>
                <w:sz w:val="24"/>
                <w:szCs w:val="24"/>
              </w:rPr>
            </w:pPr>
            <w:r>
              <w:rPr>
                <w:rFonts w:ascii="Times New Roman" w:hAnsi="Times New Roman" w:cs="Times New Roman"/>
                <w:b/>
                <w:bCs/>
                <w:sz w:val="24"/>
                <w:szCs w:val="24"/>
              </w:rPr>
              <w:t>Ortalama</w:t>
            </w:r>
          </w:p>
        </w:tc>
      </w:tr>
      <w:tr w:rsidR="00C24CF1" w14:paraId="28D1C553" w14:textId="77777777" w:rsidTr="00FD35C0">
        <w:tc>
          <w:tcPr>
            <w:tcW w:w="7283" w:type="dxa"/>
            <w:shd w:val="clear" w:color="auto" w:fill="FFFFFF"/>
          </w:tcPr>
          <w:p w14:paraId="3990ED8B"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Bilimsel yayınlar teşvik edilmektedir.</w:t>
            </w:r>
          </w:p>
        </w:tc>
        <w:tc>
          <w:tcPr>
            <w:tcW w:w="1537" w:type="dxa"/>
            <w:shd w:val="clear" w:color="auto" w:fill="FFFFFF"/>
          </w:tcPr>
          <w:p w14:paraId="07F5B176" w14:textId="69D1C9E7"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537" w:type="dxa"/>
            <w:shd w:val="clear" w:color="auto" w:fill="FFFFFF"/>
          </w:tcPr>
          <w:p w14:paraId="77A5A5AD" w14:textId="2F92DCEF"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w:t>
            </w:r>
          </w:p>
        </w:tc>
      </w:tr>
      <w:tr w:rsidR="00C24CF1" w14:paraId="5C1882BE" w14:textId="77777777" w:rsidTr="00FD35C0">
        <w:tc>
          <w:tcPr>
            <w:tcW w:w="7283" w:type="dxa"/>
            <w:shd w:val="clear" w:color="auto" w:fill="FFFFFF"/>
          </w:tcPr>
          <w:p w14:paraId="128BD526"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Bilimsel birçok etkinlik yapılmaktadır.</w:t>
            </w:r>
          </w:p>
        </w:tc>
        <w:tc>
          <w:tcPr>
            <w:tcW w:w="1537" w:type="dxa"/>
            <w:shd w:val="clear" w:color="auto" w:fill="FFFFFF"/>
          </w:tcPr>
          <w:p w14:paraId="197CDE09" w14:textId="7A863296"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37" w:type="dxa"/>
            <w:shd w:val="clear" w:color="auto" w:fill="FFFFFF"/>
          </w:tcPr>
          <w:p w14:paraId="665EC0D4" w14:textId="7A8C468F"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w:t>
            </w:r>
          </w:p>
        </w:tc>
      </w:tr>
      <w:tr w:rsidR="00C24CF1" w14:paraId="5636D63D" w14:textId="77777777" w:rsidTr="00FD35C0">
        <w:tc>
          <w:tcPr>
            <w:tcW w:w="7283" w:type="dxa"/>
            <w:shd w:val="clear" w:color="auto" w:fill="FFFFFF"/>
          </w:tcPr>
          <w:p w14:paraId="335CAB49"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Bölüm içinde düzenlenen bilimsel etkinliklerin yeterli olup olmadığını değerlendiriniz.</w:t>
            </w:r>
          </w:p>
        </w:tc>
        <w:tc>
          <w:tcPr>
            <w:tcW w:w="1537" w:type="dxa"/>
            <w:shd w:val="clear" w:color="auto" w:fill="FFFFFF"/>
          </w:tcPr>
          <w:p w14:paraId="0523D774" w14:textId="4E995BFB"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537" w:type="dxa"/>
            <w:shd w:val="clear" w:color="auto" w:fill="FFFFFF"/>
          </w:tcPr>
          <w:p w14:paraId="4B0D3F01" w14:textId="7B72FCEA"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w:t>
            </w:r>
          </w:p>
        </w:tc>
      </w:tr>
      <w:tr w:rsidR="00C24CF1" w14:paraId="7E5C2D50" w14:textId="77777777" w:rsidTr="00FD35C0">
        <w:tc>
          <w:tcPr>
            <w:tcW w:w="7283" w:type="dxa"/>
            <w:shd w:val="clear" w:color="auto" w:fill="FFFFFF"/>
          </w:tcPr>
          <w:p w14:paraId="10C5C9F0"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Erasmus, Farabi ve </w:t>
            </w:r>
            <w:proofErr w:type="gramStart"/>
            <w:r>
              <w:rPr>
                <w:rFonts w:ascii="Times New Roman" w:eastAsia="Times New Roman" w:hAnsi="Times New Roman" w:cs="Times New Roman"/>
                <w:color w:val="000000"/>
                <w:sz w:val="24"/>
                <w:szCs w:val="24"/>
              </w:rPr>
              <w:t>Mevlana</w:t>
            </w:r>
            <w:proofErr w:type="gramEnd"/>
            <w:r>
              <w:rPr>
                <w:rFonts w:ascii="Times New Roman" w:eastAsia="Times New Roman" w:hAnsi="Times New Roman" w:cs="Times New Roman"/>
                <w:color w:val="000000"/>
                <w:sz w:val="24"/>
                <w:szCs w:val="24"/>
              </w:rPr>
              <w:t xml:space="preserve"> programları ve bölümün işbirlikleri hakkında bilgi sahibiyim.</w:t>
            </w:r>
          </w:p>
        </w:tc>
        <w:tc>
          <w:tcPr>
            <w:tcW w:w="1537" w:type="dxa"/>
            <w:shd w:val="clear" w:color="auto" w:fill="FFFFFF"/>
          </w:tcPr>
          <w:p w14:paraId="0EE0C59F" w14:textId="4E53BDF6"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537" w:type="dxa"/>
            <w:shd w:val="clear" w:color="auto" w:fill="FFFFFF"/>
          </w:tcPr>
          <w:p w14:paraId="600A1889" w14:textId="43C401A6"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r>
      <w:tr w:rsidR="00C24CF1" w14:paraId="36D6A6FF" w14:textId="77777777" w:rsidTr="00FD35C0">
        <w:tc>
          <w:tcPr>
            <w:tcW w:w="7283" w:type="dxa"/>
            <w:shd w:val="clear" w:color="auto" w:fill="FFFFFF"/>
          </w:tcPr>
          <w:p w14:paraId="31434555"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Erasmus ve </w:t>
            </w:r>
            <w:proofErr w:type="gramStart"/>
            <w:r>
              <w:rPr>
                <w:rFonts w:ascii="Times New Roman" w:eastAsia="Times New Roman" w:hAnsi="Times New Roman" w:cs="Times New Roman"/>
                <w:color w:val="000000"/>
                <w:sz w:val="24"/>
                <w:szCs w:val="24"/>
              </w:rPr>
              <w:t>Mevlana</w:t>
            </w:r>
            <w:proofErr w:type="gramEnd"/>
            <w:r>
              <w:rPr>
                <w:rFonts w:ascii="Times New Roman" w:eastAsia="Times New Roman" w:hAnsi="Times New Roman" w:cs="Times New Roman"/>
                <w:color w:val="000000"/>
                <w:sz w:val="24"/>
                <w:szCs w:val="24"/>
              </w:rPr>
              <w:t xml:space="preserve"> programları kapsamında bölümün uluslararası işbirliği imkanları yeterlidir.</w:t>
            </w:r>
          </w:p>
        </w:tc>
        <w:tc>
          <w:tcPr>
            <w:tcW w:w="1537" w:type="dxa"/>
            <w:shd w:val="clear" w:color="auto" w:fill="FFFFFF"/>
          </w:tcPr>
          <w:p w14:paraId="7CC79DAD" w14:textId="351A85F5"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537" w:type="dxa"/>
            <w:shd w:val="clear" w:color="auto" w:fill="FFFFFF"/>
          </w:tcPr>
          <w:p w14:paraId="10F8E0D9" w14:textId="7F4EA1E2"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r>
      <w:tr w:rsidR="00C24CF1" w14:paraId="69535484" w14:textId="77777777" w:rsidTr="00FD35C0">
        <w:tc>
          <w:tcPr>
            <w:tcW w:w="7283" w:type="dxa"/>
            <w:shd w:val="clear" w:color="auto" w:fill="FFFFFF"/>
          </w:tcPr>
          <w:p w14:paraId="63D14705"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Oryantasyon eğitimlerinin faydalı olduğunu düşünmekteyim.</w:t>
            </w:r>
          </w:p>
        </w:tc>
        <w:tc>
          <w:tcPr>
            <w:tcW w:w="1537" w:type="dxa"/>
            <w:shd w:val="clear" w:color="auto" w:fill="FFFFFF"/>
          </w:tcPr>
          <w:p w14:paraId="6E9E8878" w14:textId="582A71CC"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537" w:type="dxa"/>
            <w:shd w:val="clear" w:color="auto" w:fill="FFFFFF"/>
          </w:tcPr>
          <w:p w14:paraId="52E654E2" w14:textId="55A8CF26"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w:t>
            </w:r>
          </w:p>
        </w:tc>
      </w:tr>
      <w:tr w:rsidR="00C24CF1" w14:paraId="271A267C" w14:textId="77777777" w:rsidTr="00FD35C0">
        <w:tc>
          <w:tcPr>
            <w:tcW w:w="7283" w:type="dxa"/>
            <w:shd w:val="clear" w:color="auto" w:fill="FFFFFF"/>
          </w:tcPr>
          <w:p w14:paraId="3CDE33CE"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Ders dışı düzenlenen etkinliklere (konferans, seminer vb.)  </w:t>
            </w:r>
            <w:proofErr w:type="gramStart"/>
            <w:r>
              <w:rPr>
                <w:rFonts w:ascii="Times New Roman" w:eastAsia="Times New Roman" w:hAnsi="Times New Roman" w:cs="Times New Roman"/>
                <w:color w:val="000000"/>
                <w:sz w:val="24"/>
                <w:szCs w:val="24"/>
              </w:rPr>
              <w:t>katılma</w:t>
            </w:r>
            <w:proofErr w:type="gramEnd"/>
            <w:r>
              <w:rPr>
                <w:rFonts w:ascii="Times New Roman" w:eastAsia="Times New Roman" w:hAnsi="Times New Roman" w:cs="Times New Roman"/>
                <w:color w:val="000000"/>
                <w:sz w:val="24"/>
                <w:szCs w:val="24"/>
              </w:rPr>
              <w:t xml:space="preserve"> fırsatı buldum.</w:t>
            </w:r>
          </w:p>
        </w:tc>
        <w:tc>
          <w:tcPr>
            <w:tcW w:w="1537" w:type="dxa"/>
            <w:shd w:val="clear" w:color="auto" w:fill="FFFFFF"/>
          </w:tcPr>
          <w:p w14:paraId="3376363C" w14:textId="61B34157"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537" w:type="dxa"/>
            <w:shd w:val="clear" w:color="auto" w:fill="FFFFFF"/>
          </w:tcPr>
          <w:p w14:paraId="590B71D0" w14:textId="312FF9A2"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r>
      <w:tr w:rsidR="00C24CF1" w14:paraId="22C63CAE" w14:textId="77777777" w:rsidTr="00FD35C0">
        <w:tc>
          <w:tcPr>
            <w:tcW w:w="7283" w:type="dxa"/>
            <w:shd w:val="clear" w:color="auto" w:fill="FFFFFF"/>
          </w:tcPr>
          <w:p w14:paraId="3143286F"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Ders dışında düzenlenen etkinliklerin (konferans, seminer vb.) faydalı olduğunu düşünüyorum.</w:t>
            </w:r>
          </w:p>
        </w:tc>
        <w:tc>
          <w:tcPr>
            <w:tcW w:w="1537" w:type="dxa"/>
            <w:shd w:val="clear" w:color="auto" w:fill="FFFFFF"/>
          </w:tcPr>
          <w:p w14:paraId="7872E571" w14:textId="402D25FF"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537" w:type="dxa"/>
            <w:shd w:val="clear" w:color="auto" w:fill="FFFFFF"/>
          </w:tcPr>
          <w:p w14:paraId="6AD905F3" w14:textId="04D77E8D"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w:t>
            </w:r>
          </w:p>
        </w:tc>
      </w:tr>
      <w:tr w:rsidR="00C24CF1" w14:paraId="68532138" w14:textId="77777777" w:rsidTr="00FD35C0">
        <w:tc>
          <w:tcPr>
            <w:tcW w:w="7283" w:type="dxa"/>
            <w:shd w:val="clear" w:color="auto" w:fill="FFFFFF"/>
          </w:tcPr>
          <w:p w14:paraId="2A12AD5D"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Bölümde düzenlenen etkinliklerin mesleki ve kişisel gelişimime katkı sağladığını düşünmekteyim.</w:t>
            </w:r>
          </w:p>
        </w:tc>
        <w:tc>
          <w:tcPr>
            <w:tcW w:w="1537" w:type="dxa"/>
            <w:shd w:val="clear" w:color="auto" w:fill="FFFFFF"/>
          </w:tcPr>
          <w:p w14:paraId="29918D92" w14:textId="6098E771"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537" w:type="dxa"/>
            <w:shd w:val="clear" w:color="auto" w:fill="FFFFFF"/>
          </w:tcPr>
          <w:p w14:paraId="4FF0EA23" w14:textId="1528B871"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C24CF1" w14:paraId="7286FE77" w14:textId="77777777" w:rsidTr="00FD35C0">
        <w:tc>
          <w:tcPr>
            <w:tcW w:w="7283" w:type="dxa"/>
            <w:shd w:val="clear" w:color="auto" w:fill="FFFFFF"/>
          </w:tcPr>
          <w:p w14:paraId="582E5FBF"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Öğrenciler bölümün eğitim öğretim planının hazırlanmasında katkı vermektedir.</w:t>
            </w:r>
          </w:p>
        </w:tc>
        <w:tc>
          <w:tcPr>
            <w:tcW w:w="1537" w:type="dxa"/>
            <w:shd w:val="clear" w:color="auto" w:fill="FFFFFF"/>
          </w:tcPr>
          <w:p w14:paraId="061C0CA4" w14:textId="1C3D9026"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537" w:type="dxa"/>
            <w:shd w:val="clear" w:color="auto" w:fill="FFFFFF"/>
          </w:tcPr>
          <w:p w14:paraId="7D1D926B" w14:textId="733D3C5E"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w:t>
            </w:r>
          </w:p>
        </w:tc>
      </w:tr>
      <w:tr w:rsidR="00C24CF1" w14:paraId="7CA6959F" w14:textId="77777777" w:rsidTr="00FD35C0">
        <w:tc>
          <w:tcPr>
            <w:tcW w:w="7283" w:type="dxa"/>
            <w:shd w:val="clear" w:color="auto" w:fill="FFFFFF"/>
          </w:tcPr>
          <w:p w14:paraId="3FDD1524" w14:textId="77777777" w:rsidR="00C24CF1" w:rsidRDefault="00C24CF1" w:rsidP="00FD35C0">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Bölümün eğitim öğretim kalitesinin arttığını düşünmekteyim</w:t>
            </w:r>
          </w:p>
        </w:tc>
        <w:tc>
          <w:tcPr>
            <w:tcW w:w="1537" w:type="dxa"/>
            <w:shd w:val="clear" w:color="auto" w:fill="FFFFFF"/>
          </w:tcPr>
          <w:p w14:paraId="1F80CDF0" w14:textId="772BC243"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537" w:type="dxa"/>
            <w:shd w:val="clear" w:color="auto" w:fill="FFFFFF"/>
          </w:tcPr>
          <w:p w14:paraId="2B692B15" w14:textId="06B692D6" w:rsidR="00C24CF1" w:rsidRDefault="00630FED" w:rsidP="00FD35C0">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630FED" w14:paraId="2AFAB147" w14:textId="77777777" w:rsidTr="00FD35C0">
        <w:tc>
          <w:tcPr>
            <w:tcW w:w="7283" w:type="dxa"/>
            <w:shd w:val="clear" w:color="auto" w:fill="FFFFFF"/>
          </w:tcPr>
          <w:p w14:paraId="1DC70287" w14:textId="77777777" w:rsidR="00630FED" w:rsidRDefault="00630FED" w:rsidP="00630FED">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Mezunlara yönelik kariyer planlama toplantıları yapılmaktadır.</w:t>
            </w:r>
          </w:p>
        </w:tc>
        <w:tc>
          <w:tcPr>
            <w:tcW w:w="1537" w:type="dxa"/>
            <w:shd w:val="clear" w:color="auto" w:fill="FFFFFF"/>
          </w:tcPr>
          <w:p w14:paraId="76B8C1FE" w14:textId="78026350"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537" w:type="dxa"/>
            <w:shd w:val="clear" w:color="auto" w:fill="FFFFFF"/>
          </w:tcPr>
          <w:p w14:paraId="28F71C05" w14:textId="2272D5CD"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w:t>
            </w:r>
          </w:p>
        </w:tc>
      </w:tr>
      <w:tr w:rsidR="00630FED" w14:paraId="5AB4505B" w14:textId="77777777" w:rsidTr="00FD35C0">
        <w:tc>
          <w:tcPr>
            <w:tcW w:w="7283" w:type="dxa"/>
            <w:shd w:val="clear" w:color="auto" w:fill="FFFFFF"/>
          </w:tcPr>
          <w:p w14:paraId="6E6FB2E1" w14:textId="77777777" w:rsidR="00630FED" w:rsidRDefault="00630FED" w:rsidP="00630FED">
            <w:pPr>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Kariyer sahibi mezunların kariyer günlerinde öğrencilerle buluşması sağlanmaktadır.</w:t>
            </w:r>
          </w:p>
        </w:tc>
        <w:tc>
          <w:tcPr>
            <w:tcW w:w="1537" w:type="dxa"/>
            <w:shd w:val="clear" w:color="auto" w:fill="FFFFFF"/>
          </w:tcPr>
          <w:p w14:paraId="4E2E4385" w14:textId="7F42EDF7"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537" w:type="dxa"/>
            <w:shd w:val="clear" w:color="auto" w:fill="FFFFFF"/>
          </w:tcPr>
          <w:p w14:paraId="5FE120CD" w14:textId="2A80CB74"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w:t>
            </w:r>
          </w:p>
        </w:tc>
      </w:tr>
      <w:tr w:rsidR="00630FED" w14:paraId="01A0ED0E" w14:textId="77777777" w:rsidTr="00FD35C0">
        <w:tc>
          <w:tcPr>
            <w:tcW w:w="7283" w:type="dxa"/>
            <w:shd w:val="clear" w:color="auto" w:fill="FFFFFF"/>
          </w:tcPr>
          <w:p w14:paraId="527BA4E0" w14:textId="77777777" w:rsidR="00630FED" w:rsidRDefault="00630FED" w:rsidP="00630FED">
            <w:pPr>
              <w:spacing w:after="0" w:line="100" w:lineRule="atLeast"/>
              <w:rPr>
                <w:rFonts w:ascii="Times New Roman" w:eastAsia="Times New Roman" w:hAnsi="Times New Roman" w:cs="Times New Roman"/>
                <w:color w:val="000000"/>
                <w:sz w:val="24"/>
                <w:szCs w:val="24"/>
              </w:rPr>
            </w:pPr>
            <w:r>
              <w:rPr>
                <w:rFonts w:ascii="Times New Roman" w:hAnsi="Times New Roman" w:cs="Times New Roman"/>
                <w:sz w:val="24"/>
                <w:szCs w:val="24"/>
              </w:rPr>
              <w:t>Mezunların mesleki başarılarını biliyorum.</w:t>
            </w:r>
          </w:p>
        </w:tc>
        <w:tc>
          <w:tcPr>
            <w:tcW w:w="1537" w:type="dxa"/>
            <w:shd w:val="clear" w:color="auto" w:fill="FFFFFF"/>
          </w:tcPr>
          <w:p w14:paraId="6C70FBD7" w14:textId="10FC6705"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537" w:type="dxa"/>
            <w:shd w:val="clear" w:color="auto" w:fill="FFFFFF"/>
          </w:tcPr>
          <w:p w14:paraId="457A5879" w14:textId="2A09DA8A"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w:t>
            </w:r>
          </w:p>
        </w:tc>
      </w:tr>
      <w:tr w:rsidR="00630FED" w14:paraId="637FF12F" w14:textId="77777777" w:rsidTr="00FD35C0">
        <w:tc>
          <w:tcPr>
            <w:tcW w:w="7283" w:type="dxa"/>
            <w:shd w:val="clear" w:color="auto" w:fill="FFFFFF"/>
          </w:tcPr>
          <w:p w14:paraId="15B2F66C" w14:textId="77777777" w:rsidR="00630FED" w:rsidRDefault="00630FED" w:rsidP="00630FED">
            <w:pPr>
              <w:tabs>
                <w:tab w:val="left" w:pos="3465"/>
              </w:tabs>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Mezunlarla daha etkin iletişime geçebilmek için mezunlar biriminin kurulmasının önemli olduğunu düşünmekteyim</w:t>
            </w:r>
          </w:p>
        </w:tc>
        <w:tc>
          <w:tcPr>
            <w:tcW w:w="1537" w:type="dxa"/>
            <w:shd w:val="clear" w:color="auto" w:fill="FFFFFF"/>
          </w:tcPr>
          <w:p w14:paraId="0DA459E4" w14:textId="7558D402"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537" w:type="dxa"/>
            <w:shd w:val="clear" w:color="auto" w:fill="FFFFFF"/>
          </w:tcPr>
          <w:p w14:paraId="751937D6" w14:textId="571198DA"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w:t>
            </w:r>
          </w:p>
        </w:tc>
      </w:tr>
      <w:tr w:rsidR="00630FED" w14:paraId="557F045C" w14:textId="77777777" w:rsidTr="00FD35C0">
        <w:tc>
          <w:tcPr>
            <w:tcW w:w="7283" w:type="dxa"/>
            <w:shd w:val="clear" w:color="auto" w:fill="FFFFFF"/>
          </w:tcPr>
          <w:p w14:paraId="3E54719D" w14:textId="77777777" w:rsidR="00630FED" w:rsidRDefault="00630FED" w:rsidP="00630FED">
            <w:pPr>
              <w:tabs>
                <w:tab w:val="left" w:pos="3465"/>
              </w:tabs>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Bölüm içerisinde her yıl mezunlar gününün düzenlenmesinin kurum kültürüne katkıda bulunacağını düşünmekteyim</w:t>
            </w:r>
          </w:p>
        </w:tc>
        <w:tc>
          <w:tcPr>
            <w:tcW w:w="1537" w:type="dxa"/>
            <w:shd w:val="clear" w:color="auto" w:fill="FFFFFF"/>
          </w:tcPr>
          <w:p w14:paraId="48977032" w14:textId="4CEB5C7C"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537" w:type="dxa"/>
            <w:shd w:val="clear" w:color="auto" w:fill="FFFFFF"/>
          </w:tcPr>
          <w:p w14:paraId="74B81809" w14:textId="5921D04A"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w:t>
            </w:r>
          </w:p>
        </w:tc>
      </w:tr>
      <w:tr w:rsidR="00630FED" w14:paraId="48C607E9" w14:textId="77777777" w:rsidTr="00FD35C0">
        <w:tc>
          <w:tcPr>
            <w:tcW w:w="7283" w:type="dxa"/>
            <w:shd w:val="clear" w:color="auto" w:fill="FFFFFF"/>
          </w:tcPr>
          <w:p w14:paraId="04D71744" w14:textId="77777777" w:rsidR="00630FED" w:rsidRDefault="00630FED" w:rsidP="00630FED">
            <w:pPr>
              <w:spacing w:after="0" w:line="100" w:lineRule="atLeast"/>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Kamu, özel sektör ve üniversite işbirliği projelerine öğrencilerin katılımını değerlendiriniz      </w:t>
            </w:r>
          </w:p>
        </w:tc>
        <w:tc>
          <w:tcPr>
            <w:tcW w:w="1537" w:type="dxa"/>
            <w:shd w:val="clear" w:color="auto" w:fill="FFFFFF"/>
          </w:tcPr>
          <w:p w14:paraId="4AA43703" w14:textId="6B9988A7"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537" w:type="dxa"/>
            <w:shd w:val="clear" w:color="auto" w:fill="FFFFFF"/>
          </w:tcPr>
          <w:p w14:paraId="18DF477B" w14:textId="014092B5"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w:t>
            </w:r>
          </w:p>
        </w:tc>
      </w:tr>
      <w:tr w:rsidR="00630FED" w14:paraId="7C4882A4" w14:textId="77777777" w:rsidTr="00FD35C0">
        <w:tc>
          <w:tcPr>
            <w:tcW w:w="7283" w:type="dxa"/>
            <w:shd w:val="clear" w:color="auto" w:fill="FFFFFF"/>
          </w:tcPr>
          <w:p w14:paraId="702A4165" w14:textId="77777777" w:rsidR="00630FED" w:rsidRDefault="00630FED" w:rsidP="00630FED">
            <w:pPr>
              <w:spacing w:after="0" w:line="100" w:lineRule="atLeast"/>
              <w:rPr>
                <w:rFonts w:ascii="Times New Roman" w:eastAsia="Times New Roman" w:hAnsi="Times New Roman" w:cs="Times New Roman"/>
                <w:color w:val="000000"/>
                <w:sz w:val="24"/>
                <w:szCs w:val="24"/>
              </w:rPr>
            </w:pPr>
            <w:r>
              <w:rPr>
                <w:rFonts w:ascii="Times New Roman" w:hAnsi="Times New Roman" w:cs="Times New Roman"/>
                <w:sz w:val="24"/>
                <w:szCs w:val="24"/>
              </w:rPr>
              <w:t>Bölümün yürüttüğü projelerin bölgeye katkılarını değerlendiriniz.</w:t>
            </w:r>
          </w:p>
        </w:tc>
        <w:tc>
          <w:tcPr>
            <w:tcW w:w="1537" w:type="dxa"/>
            <w:shd w:val="clear" w:color="auto" w:fill="FFFFFF"/>
          </w:tcPr>
          <w:p w14:paraId="201BB209" w14:textId="66835909"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537" w:type="dxa"/>
            <w:shd w:val="clear" w:color="auto" w:fill="FFFFFF"/>
          </w:tcPr>
          <w:p w14:paraId="6189BDF0" w14:textId="2548EBD8"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p>
        </w:tc>
      </w:tr>
      <w:tr w:rsidR="00630FED" w14:paraId="157FE8BE" w14:textId="77777777" w:rsidTr="00FD35C0">
        <w:tc>
          <w:tcPr>
            <w:tcW w:w="7283" w:type="dxa"/>
            <w:shd w:val="clear" w:color="auto" w:fill="FFFFFF"/>
          </w:tcPr>
          <w:p w14:paraId="04C8C159" w14:textId="77777777" w:rsidR="00630FED" w:rsidRDefault="00630FED" w:rsidP="00630FED">
            <w:pPr>
              <w:spacing w:after="0" w:line="100" w:lineRule="atLeast"/>
              <w:rPr>
                <w:rFonts w:ascii="Times New Roman" w:eastAsia="Times New Roman" w:hAnsi="Times New Roman" w:cs="Times New Roman"/>
                <w:color w:val="000000"/>
                <w:sz w:val="24"/>
                <w:szCs w:val="24"/>
              </w:rPr>
            </w:pPr>
            <w:r>
              <w:rPr>
                <w:rFonts w:ascii="Times New Roman" w:hAnsi="Times New Roman" w:cs="Times New Roman"/>
                <w:sz w:val="24"/>
                <w:szCs w:val="24"/>
              </w:rPr>
              <w:t>Bölüm içerisinde düzenlenen etkinlikler, bölüme aidiyetimi arttırmaktadır.</w:t>
            </w:r>
          </w:p>
        </w:tc>
        <w:tc>
          <w:tcPr>
            <w:tcW w:w="1537" w:type="dxa"/>
            <w:shd w:val="clear" w:color="auto" w:fill="FFFFFF"/>
          </w:tcPr>
          <w:p w14:paraId="24AE18E0" w14:textId="6D332BB2"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537" w:type="dxa"/>
            <w:shd w:val="clear" w:color="auto" w:fill="FFFFFF"/>
          </w:tcPr>
          <w:p w14:paraId="45FCFCED" w14:textId="798C78E3"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w:t>
            </w:r>
          </w:p>
        </w:tc>
      </w:tr>
      <w:tr w:rsidR="00630FED" w14:paraId="70D465BB" w14:textId="77777777" w:rsidTr="00FD35C0">
        <w:tc>
          <w:tcPr>
            <w:tcW w:w="7283" w:type="dxa"/>
            <w:shd w:val="clear" w:color="auto" w:fill="FFFFFF"/>
          </w:tcPr>
          <w:p w14:paraId="67106FED" w14:textId="77777777" w:rsidR="00630FED" w:rsidRDefault="00630FED" w:rsidP="00630FED">
            <w:pPr>
              <w:tabs>
                <w:tab w:val="left" w:pos="3465"/>
              </w:tabs>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Maliye Bölümünün bir bileşeni olmaktan memnuniyetinizi değerlendiriniz</w:t>
            </w:r>
          </w:p>
        </w:tc>
        <w:tc>
          <w:tcPr>
            <w:tcW w:w="1537" w:type="dxa"/>
            <w:shd w:val="clear" w:color="auto" w:fill="FFFFFF"/>
          </w:tcPr>
          <w:p w14:paraId="7CA2CC0F" w14:textId="735C28CB"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537" w:type="dxa"/>
            <w:shd w:val="clear" w:color="auto" w:fill="FFFFFF"/>
          </w:tcPr>
          <w:p w14:paraId="0C7B4A0C" w14:textId="1D068362" w:rsidR="00630FED" w:rsidRDefault="00630FED" w:rsidP="00630FED">
            <w:pPr>
              <w:spacing w:after="0" w:line="10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w:t>
            </w:r>
          </w:p>
        </w:tc>
      </w:tr>
      <w:tr w:rsidR="00630FED" w14:paraId="2688E3C7" w14:textId="77777777" w:rsidTr="00FD35C0">
        <w:tc>
          <w:tcPr>
            <w:tcW w:w="7283" w:type="dxa"/>
            <w:shd w:val="clear" w:color="auto" w:fill="FFFFFF"/>
          </w:tcPr>
          <w:p w14:paraId="1F4F99B1" w14:textId="77777777" w:rsidR="00630FED" w:rsidRDefault="00630FED" w:rsidP="00630FED">
            <w:pPr>
              <w:tabs>
                <w:tab w:val="left" w:pos="3465"/>
              </w:tabs>
              <w:spacing w:after="0" w:line="10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Değerlendirme</w:t>
            </w:r>
          </w:p>
          <w:p w14:paraId="0589E293" w14:textId="77777777" w:rsidR="00B94A58" w:rsidRDefault="00630FED" w:rsidP="00B94A58">
            <w:pPr>
              <w:tabs>
                <w:tab w:val="left" w:pos="3465"/>
              </w:tabs>
              <w:spacing w:after="0" w:line="1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Maliye bölümünün öğretim üyelerine her yıl tüm programlar için ayrı ayrı memnuniyet anketleri uygulanmaktadır. Söz konusu anketler, programların üstünlükleri ve zayıflıklarının belirlenmesi konusunda önemli bir yere sahiptir. 202</w:t>
            </w:r>
            <w:r w:rsidR="00C7716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yılında lisans programından akademik personelin memnuniyet düzeyi 5 üzerinden </w:t>
            </w:r>
            <w:r w:rsidR="00C7716B">
              <w:rPr>
                <w:rFonts w:ascii="Times New Roman" w:eastAsia="Times New Roman" w:hAnsi="Times New Roman" w:cs="Times New Roman"/>
                <w:color w:val="000000"/>
                <w:sz w:val="24"/>
                <w:szCs w:val="24"/>
              </w:rPr>
              <w:t>3.81’dir.</w:t>
            </w:r>
          </w:p>
          <w:p w14:paraId="2353167B" w14:textId="4F9D24D2" w:rsidR="00B94A58" w:rsidRPr="00B94A58" w:rsidRDefault="00B94A58" w:rsidP="00845075">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 xml:space="preserve">Ankete toplam 13 öğretim üyesinin katılım sağlaması, elde edilen bulguların Maliye Bölümü öğretim kadrosunun görüşlerini büyük ölçüde temsil ettiğini göstermektedir. </w:t>
            </w:r>
          </w:p>
          <w:p w14:paraId="6BB24E90" w14:textId="3F975624"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 xml:space="preserve">Genel değerlendirme sonucunda, Maliye Bölümü lisans programına yönelik öğretim üyesi memnuniyet düzeyinin 5 üzerinden 3,81 olduğu tespit edilmiştir. Bu oran, öğretim üyelerinin bölüme ilişkin algılarının </w:t>
            </w:r>
            <w:r w:rsidRPr="00B94A58">
              <w:rPr>
                <w:rFonts w:ascii="Times New Roman" w:eastAsia="Times New Roman" w:hAnsi="Times New Roman" w:cs="Times New Roman"/>
                <w:color w:val="000000"/>
                <w:sz w:val="24"/>
                <w:szCs w:val="24"/>
              </w:rPr>
              <w:lastRenderedPageBreak/>
              <w:t>genel olarak olumlu ve tatmin edici düzeyde olduğunu göstermektedir. Özellikle akademik ortam, ders dışı etkinlikler, kurumsal aidiyet,</w:t>
            </w:r>
            <w:r w:rsidR="00845075">
              <w:rPr>
                <w:rFonts w:ascii="Times New Roman" w:eastAsia="Times New Roman" w:hAnsi="Times New Roman" w:cs="Times New Roman"/>
                <w:color w:val="000000"/>
                <w:sz w:val="24"/>
                <w:szCs w:val="24"/>
              </w:rPr>
              <w:t xml:space="preserve"> oryantasyon ve</w:t>
            </w:r>
            <w:r w:rsidRPr="00B94A58">
              <w:rPr>
                <w:rFonts w:ascii="Times New Roman" w:eastAsia="Times New Roman" w:hAnsi="Times New Roman" w:cs="Times New Roman"/>
                <w:color w:val="000000"/>
                <w:sz w:val="24"/>
                <w:szCs w:val="24"/>
              </w:rPr>
              <w:t xml:space="preserve"> mezunlarla ilişkiler yönelik farkındalık başlıklarında yüksek memnuniyet düzeyleri dikkat çekmektedir.</w:t>
            </w:r>
          </w:p>
          <w:p w14:paraId="66E833F7" w14:textId="77777777"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Anket bulguları incelendiğinde, oryantasyon eğitimlerinin faydalılığı ifadesinin 4,46 ortalama ile en yüksek değerlendirilen alanlardan biri olduğu görülmektedir. Bu durum, bölüme yeni katılan öğrenci ve paydaşların kuruma uyum sürecinin etkin bir biçimde yönetildiğini göstermektedir. Benzer şekilde, ders dışı düzenlenen konferans, seminer ve benzeri akademik etkinliklere katılım imkânı (4,10) ve bu etkinliklerin mesleki ve kişisel gelişime katkısı (4,31) öğretim üyeleri tarafından yüksek düzeyde olumlu değerlendirilmiştir. Bu bulgular, bölümün yalnızca ders odaklı değil, aynı zamanda çok yönlü bir akademik gelişimi destekleyen bir yapıya sahip olduğunu ortaya koymaktadır.</w:t>
            </w:r>
          </w:p>
          <w:p w14:paraId="51AB095E" w14:textId="77777777"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Bölümde düzenlenen etkinliklerin kurumsal aidiyeti artırıcı etkisi (4,10) ve öğretim üyelerinin Maliye Bölümünün bir bileşeni olmaktan duydukları memnuniyet (4,31) oldukça yüksek düzeyde gerçekleşmiştir. Bu sonuçlar, bölümde güçlü bir kurum kültürü ve akademik dayanışma ortamının bulunduğuna işaret etmektedir.</w:t>
            </w:r>
          </w:p>
          <w:p w14:paraId="29C763AB" w14:textId="77777777"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 xml:space="preserve">Uluslararasılaşma boyutu özelinde değerlendirildiğinde, öğretim üyelerinin Erasmus, Farabi ve </w:t>
            </w:r>
            <w:proofErr w:type="gramStart"/>
            <w:r w:rsidRPr="00B94A58">
              <w:rPr>
                <w:rFonts w:ascii="Times New Roman" w:eastAsia="Times New Roman" w:hAnsi="Times New Roman" w:cs="Times New Roman"/>
                <w:color w:val="000000"/>
                <w:sz w:val="24"/>
                <w:szCs w:val="24"/>
              </w:rPr>
              <w:t>Mevlana</w:t>
            </w:r>
            <w:proofErr w:type="gramEnd"/>
            <w:r w:rsidRPr="00B94A58">
              <w:rPr>
                <w:rFonts w:ascii="Times New Roman" w:eastAsia="Times New Roman" w:hAnsi="Times New Roman" w:cs="Times New Roman"/>
                <w:color w:val="000000"/>
                <w:sz w:val="24"/>
                <w:szCs w:val="24"/>
              </w:rPr>
              <w:t xml:space="preserve"> değişim programları ile bölümün ulusal ve uluslararası iş birlikleri hakkında bilgi düzeylerinin 3,70 ortalama ile iyi bir seviyede olduğu görülmektedir. Bu bulgu, öğretim üyelerinin özellikle Erasmus Programı başta olmak üzere değişim programlarına yönelik farkındalıklarının yüksek olduğunu ve bu programların bölümün uluslararası görünürlüğüne katkı sunduğunu göstermektedir. Erasmus Programı kapsamında hem öğrenci hem de öğretim elemanı hareketliliğinin desteklenmesi, farklı üniversitelerle akademik etkileşimin artırılmasına ve iyi uygulamaların bölüme taşınmasına imkân sağlamaktadır.</w:t>
            </w:r>
          </w:p>
          <w:p w14:paraId="52006EAC" w14:textId="77777777"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 xml:space="preserve">Erasmus ve </w:t>
            </w:r>
            <w:proofErr w:type="gramStart"/>
            <w:r w:rsidRPr="00B94A58">
              <w:rPr>
                <w:rFonts w:ascii="Times New Roman" w:eastAsia="Times New Roman" w:hAnsi="Times New Roman" w:cs="Times New Roman"/>
                <w:color w:val="000000"/>
                <w:sz w:val="24"/>
                <w:szCs w:val="24"/>
              </w:rPr>
              <w:t>Mevlana</w:t>
            </w:r>
            <w:proofErr w:type="gramEnd"/>
            <w:r w:rsidRPr="00B94A58">
              <w:rPr>
                <w:rFonts w:ascii="Times New Roman" w:eastAsia="Times New Roman" w:hAnsi="Times New Roman" w:cs="Times New Roman"/>
                <w:color w:val="000000"/>
                <w:sz w:val="24"/>
                <w:szCs w:val="24"/>
              </w:rPr>
              <w:t xml:space="preserve"> programları kapsamında bölümün uluslararası işbirliği imkânlarının yeterliliği ifadesinin ortalaması görece daha düşük düzeyde gerçekleşmiş olmakla birlikte (2,31), bu durum öğretim üyeleri tarafından mevcut potansiyelin daha da geliştirilmesi gerektiği yönünde bir beklenti olarak değerlendirilmektedir. Nitekim bu bulgu, bölümün Erasmus anlaşmalarının sayısının ve niteliğinin artırılması, daha fazla üniversite ile ikili anlaşma yapılması ve hareketlilikten yararlanan öğrenci sayısının yükseltilmesi yönünde stratejik bir gelişim alanı bulunduğunu ortaya koymaktadır.</w:t>
            </w:r>
          </w:p>
          <w:p w14:paraId="3B212B5C" w14:textId="77777777"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Mezunlarla ilişkiler ve kariyer planlamasına yönelik ifadeler de anketin güçlü yönleri arasında yer almaktadır. Mezunlara yönelik kariyer planlama toplantılarının yapılması (3,84), kariyer sahibi mezunların öğrencilerle buluşturulması (3,84) ve mezunlarla daha etkin iletişim için mezunlar biriminin kurulmasının önemi (4,46) yüksek ortalamalara sahiptir. Ayrıca, bölüm içerisinde her yıl mezunlar gününün düzenlenmesinin kurum kültürüne katkı sağlayacağı yönündeki görüşün 4,38 ortalama ile desteklenmesi, mezunlarla ilişkilerin kurumsal bir yapı içerisinde güçlendirilmesine yönelik güçlü bir irade olduğunu göstermektedir.</w:t>
            </w:r>
          </w:p>
          <w:p w14:paraId="490F35F5" w14:textId="77777777"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lastRenderedPageBreak/>
              <w:t>Bilimsel faaliyetler açısından bakıldığında, bilimsel yayınların teşvik edilmesi (3,31) ve bölüm içinde düzenlenen bilimsel etkinliklerin yeterliliği (3,46) öğretim üyeleri tarafından genel olarak olumlu değerlendirilmiştir. Bu sonuçlar, akademik üretim ortamının sürdürülebilir bir gelişim süreci içinde olduğunu ve Erasmus kapsamında yürütülen ortak çalışmaların da bu sürece katkı sunabileceğini göstermektedir.</w:t>
            </w:r>
          </w:p>
          <w:p w14:paraId="7BBB9F9E" w14:textId="02E8CABC" w:rsidR="00B94A58" w:rsidRPr="00B94A58" w:rsidRDefault="00B94A58" w:rsidP="00B94A58">
            <w:pPr>
              <w:tabs>
                <w:tab w:val="left" w:pos="3465"/>
              </w:tabs>
              <w:spacing w:after="0" w:line="100" w:lineRule="atLeast"/>
              <w:jc w:val="both"/>
              <w:rPr>
                <w:rFonts w:ascii="Times New Roman" w:eastAsia="Times New Roman" w:hAnsi="Times New Roman" w:cs="Times New Roman"/>
                <w:color w:val="000000"/>
                <w:sz w:val="24"/>
                <w:szCs w:val="24"/>
              </w:rPr>
            </w:pPr>
            <w:r w:rsidRPr="00B94A58">
              <w:rPr>
                <w:rFonts w:ascii="Times New Roman" w:eastAsia="Times New Roman" w:hAnsi="Times New Roman" w:cs="Times New Roman"/>
                <w:color w:val="000000"/>
                <w:sz w:val="24"/>
                <w:szCs w:val="24"/>
              </w:rPr>
              <w:t>Sonuç olarak, öğretim üyesi anketinden elde edilen bulgular,</w:t>
            </w:r>
            <w:r w:rsidRPr="00B94A58">
              <w:rPr>
                <w:rFonts w:ascii="Times New Roman" w:eastAsia="Times New Roman" w:hAnsi="Times New Roman" w:cs="Times New Roman"/>
                <w:color w:val="000000"/>
                <w:sz w:val="24"/>
                <w:szCs w:val="24"/>
              </w:rPr>
              <w:t xml:space="preserve"> </w:t>
            </w:r>
            <w:r w:rsidRPr="00B94A58">
              <w:rPr>
                <w:rFonts w:ascii="Times New Roman" w:eastAsia="Times New Roman" w:hAnsi="Times New Roman" w:cs="Times New Roman"/>
                <w:color w:val="000000"/>
                <w:sz w:val="24"/>
                <w:szCs w:val="24"/>
              </w:rPr>
              <w:t xml:space="preserve">Maliye Bölümü’nün </w:t>
            </w:r>
            <w:r w:rsidRPr="00B94A58">
              <w:rPr>
                <w:rFonts w:ascii="Times New Roman" w:eastAsia="Times New Roman" w:hAnsi="Times New Roman" w:cs="Times New Roman"/>
                <w:color w:val="000000"/>
                <w:sz w:val="24"/>
                <w:szCs w:val="24"/>
              </w:rPr>
              <w:t xml:space="preserve">bilimsel yayın, bilimsel etkinlik ve değişim programları gibi konularda geliştirmesi gereken yönleri olmakla birlikte </w:t>
            </w:r>
            <w:r w:rsidRPr="00B94A58">
              <w:rPr>
                <w:rFonts w:ascii="Times New Roman" w:eastAsia="Times New Roman" w:hAnsi="Times New Roman" w:cs="Times New Roman"/>
                <w:color w:val="000000"/>
                <w:sz w:val="24"/>
                <w:szCs w:val="24"/>
              </w:rPr>
              <w:t>akademik ortam, kurumsal aidiyet, ders dışı etkinlikler,</w:t>
            </w:r>
            <w:r w:rsidRPr="00B94A58">
              <w:rPr>
                <w:rFonts w:ascii="Times New Roman" w:eastAsia="Times New Roman" w:hAnsi="Times New Roman" w:cs="Times New Roman"/>
                <w:color w:val="000000"/>
                <w:sz w:val="24"/>
                <w:szCs w:val="24"/>
              </w:rPr>
              <w:t xml:space="preserve"> oryantasyon</w:t>
            </w:r>
            <w:r w:rsidRPr="00B94A58">
              <w:rPr>
                <w:rFonts w:ascii="Times New Roman" w:eastAsia="Times New Roman" w:hAnsi="Times New Roman" w:cs="Times New Roman"/>
                <w:color w:val="000000"/>
                <w:sz w:val="24"/>
                <w:szCs w:val="24"/>
              </w:rPr>
              <w:t xml:space="preserve"> mezun ilişkileri ve toplumsal katkı boyutlarında güçlü bir yapıya sahip olduğunu açıkça ortaya koymaktadır. Gelişime açık alanlar ise bölümün mevcut potansiyeli ve kurumsal kapasitesi dikkate alındığında, stratejik planlama ve sürekli iyileştirme faaliyetleriyle kısa ve orta vadede daha da güçlendirilebilecek niteliktedir. Bu yönüyle anket sonuçları, Maliye Bölümü’nün sürdürülebilir kalite anlayışı doğrultusunda ilerlediğini ve kurumsal hedeflerine emin adımlarla yaklaştığını göstermektedir.</w:t>
            </w:r>
          </w:p>
          <w:p w14:paraId="1C0DDB61" w14:textId="245EF65D" w:rsidR="00630FED" w:rsidRDefault="00630FED" w:rsidP="00630FED">
            <w:pPr>
              <w:tabs>
                <w:tab w:val="left" w:pos="3465"/>
              </w:tabs>
              <w:spacing w:after="0" w:line="10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37" w:type="dxa"/>
            <w:shd w:val="clear" w:color="auto" w:fill="FFFFFF"/>
          </w:tcPr>
          <w:p w14:paraId="5AA5E7A9" w14:textId="77777777" w:rsidR="00630FED" w:rsidRDefault="00630FED" w:rsidP="00630FED">
            <w:pPr>
              <w:spacing w:after="0" w:line="100" w:lineRule="atLeast"/>
              <w:rPr>
                <w:rFonts w:ascii="Times New Roman" w:eastAsia="Times New Roman" w:hAnsi="Times New Roman" w:cs="Times New Roman"/>
                <w:color w:val="000000"/>
                <w:sz w:val="24"/>
                <w:szCs w:val="24"/>
              </w:rPr>
            </w:pPr>
          </w:p>
        </w:tc>
        <w:tc>
          <w:tcPr>
            <w:tcW w:w="1537" w:type="dxa"/>
            <w:shd w:val="clear" w:color="auto" w:fill="FFFFFF"/>
          </w:tcPr>
          <w:p w14:paraId="29B52CEA" w14:textId="77777777" w:rsidR="00630FED" w:rsidRDefault="00630FED" w:rsidP="00630FED">
            <w:pPr>
              <w:spacing w:after="0" w:line="100" w:lineRule="atLeast"/>
              <w:rPr>
                <w:rFonts w:ascii="Times New Roman" w:eastAsia="Times New Roman" w:hAnsi="Times New Roman" w:cs="Times New Roman"/>
                <w:color w:val="000000"/>
                <w:sz w:val="24"/>
                <w:szCs w:val="24"/>
              </w:rPr>
            </w:pPr>
          </w:p>
        </w:tc>
      </w:tr>
    </w:tbl>
    <w:p w14:paraId="13EAA28A" w14:textId="77777777" w:rsidR="003D6AE6" w:rsidRDefault="003D6AE6"/>
    <w:sectPr w:rsidR="003D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35"/>
    <w:rsid w:val="001E340D"/>
    <w:rsid w:val="0022710E"/>
    <w:rsid w:val="003847B8"/>
    <w:rsid w:val="003D6AE6"/>
    <w:rsid w:val="004845E8"/>
    <w:rsid w:val="004F5EF7"/>
    <w:rsid w:val="00630FED"/>
    <w:rsid w:val="00692535"/>
    <w:rsid w:val="00750312"/>
    <w:rsid w:val="007717CD"/>
    <w:rsid w:val="00845075"/>
    <w:rsid w:val="00AD1448"/>
    <w:rsid w:val="00B048E0"/>
    <w:rsid w:val="00B94A58"/>
    <w:rsid w:val="00C24CF1"/>
    <w:rsid w:val="00C771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B4D6"/>
  <w15:chartTrackingRefBased/>
  <w15:docId w15:val="{57E9EF02-3F4A-4D37-9B72-63377D85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F1"/>
    <w:pPr>
      <w:suppressAutoHyphens/>
      <w:spacing w:line="252" w:lineRule="auto"/>
    </w:pPr>
    <w:rPr>
      <w:rFonts w:ascii="Calibri" w:eastAsia="Calibri" w:hAnsi="Calibri" w:cs="Calibri"/>
      <w:kern w:val="0"/>
      <w:lang w:eastAsia="ar-SA"/>
      <w14:ligatures w14:val="none"/>
    </w:rPr>
  </w:style>
  <w:style w:type="paragraph" w:styleId="Balk1">
    <w:name w:val="heading 1"/>
    <w:basedOn w:val="Normal"/>
    <w:next w:val="Normal"/>
    <w:link w:val="Balk1Char"/>
    <w:uiPriority w:val="9"/>
    <w:qFormat/>
    <w:rsid w:val="00692535"/>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692535"/>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692535"/>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692535"/>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692535"/>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692535"/>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692535"/>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692535"/>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692535"/>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253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9253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9253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9253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9253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9253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253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253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2535"/>
    <w:rPr>
      <w:rFonts w:eastAsiaTheme="majorEastAsia" w:cstheme="majorBidi"/>
      <w:color w:val="272727" w:themeColor="text1" w:themeTint="D8"/>
    </w:rPr>
  </w:style>
  <w:style w:type="paragraph" w:styleId="KonuBal">
    <w:name w:val="Title"/>
    <w:basedOn w:val="Normal"/>
    <w:next w:val="Normal"/>
    <w:link w:val="KonuBalChar"/>
    <w:uiPriority w:val="10"/>
    <w:qFormat/>
    <w:rsid w:val="00692535"/>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69253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2535"/>
    <w:pPr>
      <w:numPr>
        <w:ilvl w:val="1"/>
      </w:numPr>
      <w:suppressAutoHyphens w:val="0"/>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69253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2535"/>
    <w:pPr>
      <w:suppressAutoHyphens w:val="0"/>
      <w:spacing w:before="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692535"/>
    <w:rPr>
      <w:i/>
      <w:iCs/>
      <w:color w:val="404040" w:themeColor="text1" w:themeTint="BF"/>
    </w:rPr>
  </w:style>
  <w:style w:type="paragraph" w:styleId="ListeParagraf">
    <w:name w:val="List Paragraph"/>
    <w:basedOn w:val="Normal"/>
    <w:uiPriority w:val="34"/>
    <w:qFormat/>
    <w:rsid w:val="00692535"/>
    <w:pPr>
      <w:suppressAutoHyphens w:val="0"/>
      <w:spacing w:line="259" w:lineRule="auto"/>
      <w:ind w:left="720"/>
      <w:contextualSpacing/>
    </w:pPr>
    <w:rPr>
      <w:rFonts w:asciiTheme="minorHAnsi" w:eastAsiaTheme="minorHAnsi" w:hAnsiTheme="minorHAnsi" w:cstheme="minorBidi"/>
      <w:kern w:val="2"/>
      <w:lang w:eastAsia="en-US"/>
      <w14:ligatures w14:val="standardContextual"/>
    </w:rPr>
  </w:style>
  <w:style w:type="character" w:styleId="GlVurgulama">
    <w:name w:val="Intense Emphasis"/>
    <w:basedOn w:val="VarsaylanParagrafYazTipi"/>
    <w:uiPriority w:val="21"/>
    <w:qFormat/>
    <w:rsid w:val="00692535"/>
    <w:rPr>
      <w:i/>
      <w:iCs/>
      <w:color w:val="2F5496" w:themeColor="accent1" w:themeShade="BF"/>
    </w:rPr>
  </w:style>
  <w:style w:type="paragraph" w:styleId="GlAlnt">
    <w:name w:val="Intense Quote"/>
    <w:basedOn w:val="Normal"/>
    <w:next w:val="Normal"/>
    <w:link w:val="GlAlntChar"/>
    <w:uiPriority w:val="30"/>
    <w:qFormat/>
    <w:rsid w:val="00692535"/>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692535"/>
    <w:rPr>
      <w:i/>
      <w:iCs/>
      <w:color w:val="2F5496" w:themeColor="accent1" w:themeShade="BF"/>
    </w:rPr>
  </w:style>
  <w:style w:type="character" w:styleId="GlBavuru">
    <w:name w:val="Intense Reference"/>
    <w:basedOn w:val="VarsaylanParagrafYazTipi"/>
    <w:uiPriority w:val="32"/>
    <w:qFormat/>
    <w:rsid w:val="00692535"/>
    <w:rPr>
      <w:b/>
      <w:bCs/>
      <w:smallCaps/>
      <w:color w:val="2F5496" w:themeColor="accent1" w:themeShade="BF"/>
      <w:spacing w:val="5"/>
    </w:rPr>
  </w:style>
  <w:style w:type="paragraph" w:styleId="NormalWeb">
    <w:name w:val="Normal (Web)"/>
    <w:basedOn w:val="Normal"/>
    <w:uiPriority w:val="99"/>
    <w:semiHidden/>
    <w:unhideWhenUsed/>
    <w:rsid w:val="00B94A58"/>
    <w:pPr>
      <w:suppressAutoHyphens w:val="0"/>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4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1021</Words>
  <Characters>5820</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Taşdemir</dc:creator>
  <cp:keywords/>
  <dc:description/>
  <cp:lastModifiedBy>Yakup Taşdemir</cp:lastModifiedBy>
  <cp:revision>13</cp:revision>
  <dcterms:created xsi:type="dcterms:W3CDTF">2025-01-24T22:19:00Z</dcterms:created>
  <dcterms:modified xsi:type="dcterms:W3CDTF">2026-01-14T07:31:00Z</dcterms:modified>
</cp:coreProperties>
</file>