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horzAnchor="margin" w:tblpXSpec="center" w:tblpY="-211"/>
        <w:tblW w:w="10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2"/>
        <w:gridCol w:w="5280"/>
        <w:gridCol w:w="1543"/>
        <w:gridCol w:w="1577"/>
      </w:tblGrid>
      <w:tr w:rsidR="0013451B" w:rsidRPr="009664D3" w:rsidTr="0013451B">
        <w:trPr>
          <w:trHeight w:val="195"/>
        </w:trPr>
        <w:tc>
          <w:tcPr>
            <w:tcW w:w="2512" w:type="dxa"/>
            <w:vMerge w:val="restart"/>
          </w:tcPr>
          <w:p w:rsidR="0013451B" w:rsidRPr="009664D3" w:rsidRDefault="0013451B" w:rsidP="0013451B">
            <w:pPr>
              <w:pStyle w:val="TableParagraph"/>
              <w:spacing w:before="9" w:after="1"/>
              <w:jc w:val="both"/>
              <w:rPr>
                <w:rFonts w:ascii="Times" w:hAnsi="Times"/>
                <w:color w:val="000000" w:themeColor="text1"/>
              </w:rPr>
            </w:pPr>
          </w:p>
          <w:p w:rsidR="0013451B" w:rsidRPr="009664D3" w:rsidRDefault="0013451B" w:rsidP="0013451B">
            <w:pPr>
              <w:pStyle w:val="TableParagraph"/>
              <w:ind w:left="797" w:hanging="551"/>
              <w:jc w:val="both"/>
              <w:rPr>
                <w:rFonts w:ascii="Times" w:hAnsi="Times"/>
                <w:color w:val="000000" w:themeColor="text1"/>
              </w:rPr>
            </w:pPr>
            <w:r>
              <w:rPr>
                <w:rFonts w:ascii="Times" w:hAnsi="Times"/>
                <w:noProof/>
                <w:color w:val="000000" w:themeColor="text1"/>
              </w:rPr>
              <w:drawing>
                <wp:inline distT="0" distB="0" distL="0" distR="0" wp14:anchorId="0E99CF9D" wp14:editId="3DBE65F2">
                  <wp:extent cx="1182030" cy="1167161"/>
                  <wp:effectExtent l="0" t="0" r="0" b="127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168" cy="1180134"/>
                          </a:xfrm>
                          <a:prstGeom prst="rect">
                            <a:avLst/>
                          </a:prstGeom>
                          <a:noFill/>
                          <a:ln>
                            <a:noFill/>
                          </a:ln>
                        </pic:spPr>
                      </pic:pic>
                    </a:graphicData>
                  </a:graphic>
                </wp:inline>
              </w:drawing>
            </w:r>
          </w:p>
        </w:tc>
        <w:tc>
          <w:tcPr>
            <w:tcW w:w="5280" w:type="dxa"/>
            <w:vMerge w:val="restart"/>
          </w:tcPr>
          <w:p w:rsidR="0013451B" w:rsidRPr="0013451B" w:rsidRDefault="0013451B" w:rsidP="0013451B">
            <w:pPr>
              <w:pStyle w:val="TableParagraph"/>
              <w:spacing w:before="3"/>
              <w:jc w:val="both"/>
              <w:rPr>
                <w:color w:val="000000" w:themeColor="text1"/>
                <w:sz w:val="20"/>
                <w:szCs w:val="20"/>
              </w:rPr>
            </w:pPr>
          </w:p>
          <w:p w:rsidR="0013451B" w:rsidRPr="0013451B" w:rsidRDefault="0013451B" w:rsidP="0013451B">
            <w:pPr>
              <w:widowControl/>
              <w:autoSpaceDE/>
              <w:autoSpaceDN/>
              <w:spacing w:before="100" w:beforeAutospacing="1" w:after="100" w:afterAutospacing="1"/>
              <w:jc w:val="center"/>
              <w:rPr>
                <w:b/>
                <w:bCs/>
                <w:color w:val="000000"/>
                <w:sz w:val="20"/>
                <w:szCs w:val="20"/>
                <w:lang w:eastAsia="tr-TR"/>
              </w:rPr>
            </w:pPr>
            <w:r w:rsidRPr="00D8662F">
              <w:rPr>
                <w:b/>
                <w:bCs/>
                <w:color w:val="000000"/>
                <w:sz w:val="20"/>
                <w:szCs w:val="20"/>
                <w:lang w:eastAsia="tr-TR"/>
              </w:rPr>
              <w:t>T.C. ÇANAKKALE ONSEKİZ MART ÜNİVERSİTESİ</w:t>
            </w:r>
          </w:p>
          <w:p w:rsidR="0013451B" w:rsidRPr="0013451B" w:rsidRDefault="0013451B" w:rsidP="0013451B">
            <w:pPr>
              <w:widowControl/>
              <w:autoSpaceDE/>
              <w:autoSpaceDN/>
              <w:spacing w:before="100" w:beforeAutospacing="1" w:after="100" w:afterAutospacing="1"/>
              <w:jc w:val="center"/>
              <w:rPr>
                <w:b/>
                <w:bCs/>
                <w:color w:val="000000"/>
                <w:sz w:val="20"/>
                <w:szCs w:val="20"/>
                <w:lang w:eastAsia="tr-TR"/>
              </w:rPr>
            </w:pPr>
            <w:r w:rsidRPr="00D8662F">
              <w:rPr>
                <w:b/>
                <w:bCs/>
                <w:color w:val="000000"/>
                <w:sz w:val="20"/>
                <w:szCs w:val="20"/>
                <w:lang w:eastAsia="tr-TR"/>
              </w:rPr>
              <w:t>BİLİMSEL YAYIN VE DERGİLER KOORDİNATÖRLÜĞÜ</w:t>
            </w:r>
          </w:p>
          <w:p w:rsidR="0013451B" w:rsidRPr="0013451B" w:rsidRDefault="0013451B" w:rsidP="0013451B">
            <w:pPr>
              <w:widowControl/>
              <w:autoSpaceDE/>
              <w:autoSpaceDN/>
              <w:spacing w:before="100" w:beforeAutospacing="1" w:after="100" w:afterAutospacing="1"/>
              <w:jc w:val="center"/>
              <w:rPr>
                <w:b/>
                <w:bCs/>
                <w:color w:val="000000"/>
                <w:sz w:val="20"/>
                <w:szCs w:val="20"/>
                <w:lang w:eastAsia="tr-TR"/>
              </w:rPr>
            </w:pPr>
            <w:r w:rsidRPr="0013451B">
              <w:rPr>
                <w:b/>
                <w:bCs/>
                <w:color w:val="000000"/>
                <w:sz w:val="20"/>
                <w:szCs w:val="20"/>
              </w:rPr>
              <w:t xml:space="preserve">ARAŞTIRMA </w:t>
            </w:r>
            <w:proofErr w:type="spellStart"/>
            <w:r w:rsidRPr="0013451B">
              <w:rPr>
                <w:b/>
                <w:bCs/>
                <w:color w:val="000000"/>
                <w:sz w:val="20"/>
                <w:szCs w:val="20"/>
              </w:rPr>
              <w:t>ve</w:t>
            </w:r>
            <w:proofErr w:type="spellEnd"/>
            <w:r w:rsidRPr="0013451B">
              <w:rPr>
                <w:b/>
                <w:bCs/>
                <w:color w:val="000000"/>
                <w:sz w:val="20"/>
                <w:szCs w:val="20"/>
              </w:rPr>
              <w:t xml:space="preserve"> GELİŞTİRME</w:t>
            </w:r>
            <w:r w:rsidRPr="0013451B">
              <w:rPr>
                <w:color w:val="000000"/>
                <w:sz w:val="20"/>
                <w:szCs w:val="20"/>
              </w:rPr>
              <w:t xml:space="preserve"> </w:t>
            </w:r>
            <w:r w:rsidRPr="0013451B">
              <w:rPr>
                <w:b/>
                <w:bCs/>
                <w:color w:val="000000"/>
                <w:sz w:val="20"/>
                <w:szCs w:val="20"/>
              </w:rPr>
              <w:t xml:space="preserve">SÜRECİNDE </w:t>
            </w:r>
            <w:r w:rsidRPr="00D8662F">
              <w:rPr>
                <w:b/>
                <w:bCs/>
                <w:color w:val="000000"/>
                <w:sz w:val="20"/>
                <w:szCs w:val="20"/>
                <w:lang w:eastAsia="tr-TR"/>
              </w:rPr>
              <w:t xml:space="preserve">PUKÖ DÖNGÜSÜ </w:t>
            </w:r>
            <w:proofErr w:type="spellStart"/>
            <w:r w:rsidRPr="00D8662F">
              <w:rPr>
                <w:b/>
                <w:bCs/>
                <w:color w:val="000000"/>
                <w:sz w:val="20"/>
                <w:szCs w:val="20"/>
                <w:lang w:eastAsia="tr-TR"/>
              </w:rPr>
              <w:t>ve</w:t>
            </w:r>
            <w:proofErr w:type="spellEnd"/>
            <w:r w:rsidRPr="00D8662F">
              <w:rPr>
                <w:b/>
                <w:bCs/>
                <w:color w:val="000000"/>
                <w:sz w:val="20"/>
                <w:szCs w:val="20"/>
                <w:lang w:eastAsia="tr-TR"/>
              </w:rPr>
              <w:t xml:space="preserve"> SÜREÇ TAKVİMİ</w:t>
            </w:r>
          </w:p>
        </w:tc>
        <w:tc>
          <w:tcPr>
            <w:tcW w:w="1543" w:type="dxa"/>
            <w:tcBorders>
              <w:right w:val="nil"/>
            </w:tcBorders>
          </w:tcPr>
          <w:p w:rsidR="0013451B" w:rsidRPr="0013451B" w:rsidRDefault="0013451B" w:rsidP="0013451B">
            <w:pPr>
              <w:pStyle w:val="TableParagraph"/>
              <w:spacing w:before="15" w:line="237" w:lineRule="exact"/>
              <w:ind w:left="101"/>
              <w:jc w:val="both"/>
              <w:rPr>
                <w:b/>
                <w:color w:val="000000" w:themeColor="text1"/>
                <w:sz w:val="20"/>
                <w:szCs w:val="20"/>
              </w:rPr>
            </w:pPr>
            <w:proofErr w:type="spellStart"/>
            <w:r w:rsidRPr="0013451B">
              <w:rPr>
                <w:b/>
                <w:color w:val="000000" w:themeColor="text1"/>
                <w:sz w:val="20"/>
                <w:szCs w:val="20"/>
              </w:rPr>
              <w:t>Doküman</w:t>
            </w:r>
            <w:proofErr w:type="spellEnd"/>
            <w:r w:rsidRPr="0013451B">
              <w:rPr>
                <w:b/>
                <w:color w:val="000000" w:themeColor="text1"/>
                <w:sz w:val="20"/>
                <w:szCs w:val="20"/>
              </w:rPr>
              <w:t xml:space="preserve"> Kodu</w:t>
            </w:r>
          </w:p>
        </w:tc>
        <w:tc>
          <w:tcPr>
            <w:tcW w:w="1577" w:type="dxa"/>
            <w:tcBorders>
              <w:left w:val="nil"/>
            </w:tcBorders>
          </w:tcPr>
          <w:p w:rsidR="0013451B" w:rsidRPr="0013451B" w:rsidRDefault="0013451B" w:rsidP="0013451B">
            <w:pPr>
              <w:pStyle w:val="TableParagraph"/>
              <w:spacing w:before="15" w:line="237" w:lineRule="exact"/>
              <w:ind w:left="217"/>
              <w:jc w:val="both"/>
              <w:rPr>
                <w:color w:val="000000" w:themeColor="text1"/>
                <w:sz w:val="20"/>
                <w:szCs w:val="20"/>
              </w:rPr>
            </w:pPr>
            <w:r w:rsidRPr="0013451B">
              <w:rPr>
                <w:color w:val="000000" w:themeColor="text1"/>
                <w:sz w:val="20"/>
                <w:szCs w:val="20"/>
              </w:rPr>
              <w:t xml:space="preserve">: </w:t>
            </w:r>
          </w:p>
        </w:tc>
      </w:tr>
      <w:tr w:rsidR="0013451B" w:rsidRPr="009664D3" w:rsidTr="0013451B">
        <w:trPr>
          <w:trHeight w:val="195"/>
        </w:trPr>
        <w:tc>
          <w:tcPr>
            <w:tcW w:w="2512" w:type="dxa"/>
            <w:vMerge/>
            <w:tcBorders>
              <w:top w:val="nil"/>
            </w:tcBorders>
          </w:tcPr>
          <w:p w:rsidR="0013451B" w:rsidRPr="009664D3" w:rsidRDefault="0013451B" w:rsidP="0013451B">
            <w:pPr>
              <w:jc w:val="both"/>
              <w:rPr>
                <w:rFonts w:ascii="Times" w:hAnsi="Times"/>
                <w:color w:val="000000" w:themeColor="text1"/>
              </w:rPr>
            </w:pPr>
          </w:p>
        </w:tc>
        <w:tc>
          <w:tcPr>
            <w:tcW w:w="5280" w:type="dxa"/>
            <w:vMerge/>
            <w:tcBorders>
              <w:top w:val="nil"/>
            </w:tcBorders>
          </w:tcPr>
          <w:p w:rsidR="0013451B" w:rsidRPr="0013451B" w:rsidRDefault="0013451B" w:rsidP="0013451B">
            <w:pPr>
              <w:jc w:val="both"/>
              <w:rPr>
                <w:color w:val="000000" w:themeColor="text1"/>
                <w:sz w:val="20"/>
                <w:szCs w:val="20"/>
              </w:rPr>
            </w:pPr>
          </w:p>
        </w:tc>
        <w:tc>
          <w:tcPr>
            <w:tcW w:w="1543" w:type="dxa"/>
            <w:tcBorders>
              <w:right w:val="nil"/>
            </w:tcBorders>
          </w:tcPr>
          <w:p w:rsidR="0013451B" w:rsidRPr="0013451B" w:rsidRDefault="0013451B" w:rsidP="0013451B">
            <w:pPr>
              <w:pStyle w:val="TableParagraph"/>
              <w:spacing w:before="15" w:line="237" w:lineRule="exact"/>
              <w:ind w:left="101"/>
              <w:jc w:val="both"/>
              <w:rPr>
                <w:b/>
                <w:color w:val="000000" w:themeColor="text1"/>
                <w:sz w:val="20"/>
                <w:szCs w:val="20"/>
              </w:rPr>
            </w:pPr>
            <w:proofErr w:type="spellStart"/>
            <w:r w:rsidRPr="0013451B">
              <w:rPr>
                <w:b/>
                <w:color w:val="000000" w:themeColor="text1"/>
                <w:sz w:val="20"/>
                <w:szCs w:val="20"/>
              </w:rPr>
              <w:t>Yayın</w:t>
            </w:r>
            <w:proofErr w:type="spellEnd"/>
            <w:r w:rsidRPr="0013451B">
              <w:rPr>
                <w:b/>
                <w:color w:val="000000" w:themeColor="text1"/>
                <w:sz w:val="20"/>
                <w:szCs w:val="20"/>
              </w:rPr>
              <w:t xml:space="preserve"> </w:t>
            </w:r>
            <w:proofErr w:type="spellStart"/>
            <w:r w:rsidRPr="0013451B">
              <w:rPr>
                <w:b/>
                <w:color w:val="000000" w:themeColor="text1"/>
                <w:sz w:val="20"/>
                <w:szCs w:val="20"/>
              </w:rPr>
              <w:t>Tarihi</w:t>
            </w:r>
            <w:proofErr w:type="spellEnd"/>
          </w:p>
        </w:tc>
        <w:tc>
          <w:tcPr>
            <w:tcW w:w="1577" w:type="dxa"/>
            <w:tcBorders>
              <w:left w:val="nil"/>
            </w:tcBorders>
          </w:tcPr>
          <w:p w:rsidR="0013451B" w:rsidRPr="0013451B" w:rsidRDefault="0013451B" w:rsidP="0013451B">
            <w:pPr>
              <w:pStyle w:val="TableParagraph"/>
              <w:spacing w:before="15" w:line="237" w:lineRule="exact"/>
              <w:ind w:left="217"/>
              <w:jc w:val="both"/>
              <w:rPr>
                <w:color w:val="000000" w:themeColor="text1"/>
                <w:sz w:val="20"/>
                <w:szCs w:val="20"/>
              </w:rPr>
            </w:pPr>
            <w:r w:rsidRPr="0013451B">
              <w:rPr>
                <w:color w:val="000000" w:themeColor="text1"/>
                <w:sz w:val="20"/>
                <w:szCs w:val="20"/>
              </w:rPr>
              <w:t xml:space="preserve">: </w:t>
            </w:r>
          </w:p>
        </w:tc>
      </w:tr>
      <w:tr w:rsidR="0013451B" w:rsidRPr="009664D3" w:rsidTr="0013451B">
        <w:trPr>
          <w:trHeight w:val="196"/>
        </w:trPr>
        <w:tc>
          <w:tcPr>
            <w:tcW w:w="2512" w:type="dxa"/>
            <w:vMerge/>
            <w:tcBorders>
              <w:top w:val="nil"/>
            </w:tcBorders>
          </w:tcPr>
          <w:p w:rsidR="0013451B" w:rsidRPr="009664D3" w:rsidRDefault="0013451B" w:rsidP="0013451B">
            <w:pPr>
              <w:jc w:val="both"/>
              <w:rPr>
                <w:rFonts w:ascii="Times" w:hAnsi="Times"/>
                <w:color w:val="000000" w:themeColor="text1"/>
              </w:rPr>
            </w:pPr>
          </w:p>
        </w:tc>
        <w:tc>
          <w:tcPr>
            <w:tcW w:w="5280" w:type="dxa"/>
            <w:vMerge/>
            <w:tcBorders>
              <w:top w:val="nil"/>
            </w:tcBorders>
          </w:tcPr>
          <w:p w:rsidR="0013451B" w:rsidRPr="0013451B" w:rsidRDefault="0013451B" w:rsidP="0013451B">
            <w:pPr>
              <w:jc w:val="both"/>
              <w:rPr>
                <w:color w:val="000000" w:themeColor="text1"/>
                <w:sz w:val="20"/>
                <w:szCs w:val="20"/>
              </w:rPr>
            </w:pPr>
          </w:p>
        </w:tc>
        <w:tc>
          <w:tcPr>
            <w:tcW w:w="1543" w:type="dxa"/>
            <w:tcBorders>
              <w:right w:val="nil"/>
            </w:tcBorders>
          </w:tcPr>
          <w:p w:rsidR="0013451B" w:rsidRPr="0013451B" w:rsidRDefault="0013451B" w:rsidP="0013451B">
            <w:pPr>
              <w:pStyle w:val="TableParagraph"/>
              <w:spacing w:before="18" w:line="237" w:lineRule="exact"/>
              <w:ind w:left="101"/>
              <w:jc w:val="both"/>
              <w:rPr>
                <w:b/>
                <w:color w:val="000000" w:themeColor="text1"/>
                <w:sz w:val="20"/>
                <w:szCs w:val="20"/>
              </w:rPr>
            </w:pPr>
            <w:proofErr w:type="spellStart"/>
            <w:r w:rsidRPr="0013451B">
              <w:rPr>
                <w:b/>
                <w:color w:val="000000" w:themeColor="text1"/>
                <w:sz w:val="20"/>
                <w:szCs w:val="20"/>
              </w:rPr>
              <w:t>Revizyon</w:t>
            </w:r>
            <w:proofErr w:type="spellEnd"/>
            <w:r w:rsidRPr="0013451B">
              <w:rPr>
                <w:b/>
                <w:color w:val="000000" w:themeColor="text1"/>
                <w:sz w:val="20"/>
                <w:szCs w:val="20"/>
              </w:rPr>
              <w:t xml:space="preserve"> </w:t>
            </w:r>
            <w:proofErr w:type="spellStart"/>
            <w:r w:rsidRPr="0013451B">
              <w:rPr>
                <w:b/>
                <w:color w:val="000000" w:themeColor="text1"/>
                <w:sz w:val="20"/>
                <w:szCs w:val="20"/>
              </w:rPr>
              <w:t>Tarihi</w:t>
            </w:r>
            <w:proofErr w:type="spellEnd"/>
          </w:p>
        </w:tc>
        <w:tc>
          <w:tcPr>
            <w:tcW w:w="1577" w:type="dxa"/>
            <w:tcBorders>
              <w:left w:val="nil"/>
            </w:tcBorders>
          </w:tcPr>
          <w:p w:rsidR="0013451B" w:rsidRPr="0013451B" w:rsidRDefault="0013451B" w:rsidP="0013451B">
            <w:pPr>
              <w:pStyle w:val="TableParagraph"/>
              <w:spacing w:before="18" w:line="237" w:lineRule="exact"/>
              <w:ind w:left="217"/>
              <w:jc w:val="both"/>
              <w:rPr>
                <w:color w:val="000000" w:themeColor="text1"/>
                <w:sz w:val="20"/>
                <w:szCs w:val="20"/>
              </w:rPr>
            </w:pPr>
            <w:r w:rsidRPr="0013451B">
              <w:rPr>
                <w:color w:val="000000" w:themeColor="text1"/>
                <w:sz w:val="20"/>
                <w:szCs w:val="20"/>
              </w:rPr>
              <w:t xml:space="preserve">: </w:t>
            </w:r>
          </w:p>
        </w:tc>
      </w:tr>
      <w:tr w:rsidR="0013451B" w:rsidRPr="009664D3" w:rsidTr="0013451B">
        <w:trPr>
          <w:trHeight w:val="195"/>
        </w:trPr>
        <w:tc>
          <w:tcPr>
            <w:tcW w:w="2512" w:type="dxa"/>
            <w:vMerge/>
            <w:tcBorders>
              <w:top w:val="nil"/>
            </w:tcBorders>
          </w:tcPr>
          <w:p w:rsidR="0013451B" w:rsidRPr="009664D3" w:rsidRDefault="0013451B" w:rsidP="0013451B">
            <w:pPr>
              <w:jc w:val="both"/>
              <w:rPr>
                <w:rFonts w:ascii="Times" w:hAnsi="Times"/>
                <w:color w:val="000000" w:themeColor="text1"/>
              </w:rPr>
            </w:pPr>
          </w:p>
        </w:tc>
        <w:tc>
          <w:tcPr>
            <w:tcW w:w="5280" w:type="dxa"/>
            <w:vMerge/>
            <w:tcBorders>
              <w:top w:val="nil"/>
            </w:tcBorders>
          </w:tcPr>
          <w:p w:rsidR="0013451B" w:rsidRPr="0013451B" w:rsidRDefault="0013451B" w:rsidP="0013451B">
            <w:pPr>
              <w:jc w:val="both"/>
              <w:rPr>
                <w:color w:val="000000" w:themeColor="text1"/>
                <w:sz w:val="20"/>
                <w:szCs w:val="20"/>
              </w:rPr>
            </w:pPr>
          </w:p>
        </w:tc>
        <w:tc>
          <w:tcPr>
            <w:tcW w:w="1543" w:type="dxa"/>
            <w:tcBorders>
              <w:right w:val="nil"/>
            </w:tcBorders>
          </w:tcPr>
          <w:p w:rsidR="0013451B" w:rsidRPr="0013451B" w:rsidRDefault="0013451B" w:rsidP="0013451B">
            <w:pPr>
              <w:pStyle w:val="TableParagraph"/>
              <w:spacing w:before="15" w:line="237" w:lineRule="exact"/>
              <w:ind w:left="101"/>
              <w:jc w:val="both"/>
              <w:rPr>
                <w:b/>
                <w:color w:val="000000" w:themeColor="text1"/>
                <w:sz w:val="20"/>
                <w:szCs w:val="20"/>
              </w:rPr>
            </w:pPr>
            <w:proofErr w:type="spellStart"/>
            <w:r w:rsidRPr="0013451B">
              <w:rPr>
                <w:b/>
                <w:color w:val="000000" w:themeColor="text1"/>
                <w:sz w:val="20"/>
                <w:szCs w:val="20"/>
              </w:rPr>
              <w:t>Revizyon</w:t>
            </w:r>
            <w:proofErr w:type="spellEnd"/>
            <w:r w:rsidRPr="0013451B">
              <w:rPr>
                <w:b/>
                <w:color w:val="000000" w:themeColor="text1"/>
                <w:sz w:val="20"/>
                <w:szCs w:val="20"/>
              </w:rPr>
              <w:t xml:space="preserve"> No</w:t>
            </w:r>
          </w:p>
        </w:tc>
        <w:tc>
          <w:tcPr>
            <w:tcW w:w="1577" w:type="dxa"/>
            <w:tcBorders>
              <w:left w:val="nil"/>
            </w:tcBorders>
          </w:tcPr>
          <w:p w:rsidR="0013451B" w:rsidRPr="0013451B" w:rsidRDefault="0013451B" w:rsidP="0013451B">
            <w:pPr>
              <w:pStyle w:val="TableParagraph"/>
              <w:spacing w:before="15" w:line="237" w:lineRule="exact"/>
              <w:ind w:left="217"/>
              <w:jc w:val="both"/>
              <w:rPr>
                <w:color w:val="000000" w:themeColor="text1"/>
                <w:sz w:val="20"/>
                <w:szCs w:val="20"/>
              </w:rPr>
            </w:pPr>
            <w:r w:rsidRPr="0013451B">
              <w:rPr>
                <w:color w:val="000000" w:themeColor="text1"/>
                <w:sz w:val="20"/>
                <w:szCs w:val="20"/>
              </w:rPr>
              <w:t>:</w:t>
            </w:r>
          </w:p>
        </w:tc>
      </w:tr>
      <w:tr w:rsidR="0013451B" w:rsidRPr="009664D3" w:rsidTr="0013451B">
        <w:trPr>
          <w:trHeight w:val="195"/>
        </w:trPr>
        <w:tc>
          <w:tcPr>
            <w:tcW w:w="2512" w:type="dxa"/>
            <w:vMerge/>
            <w:tcBorders>
              <w:top w:val="nil"/>
            </w:tcBorders>
          </w:tcPr>
          <w:p w:rsidR="0013451B" w:rsidRPr="009664D3" w:rsidRDefault="0013451B" w:rsidP="0013451B">
            <w:pPr>
              <w:jc w:val="both"/>
              <w:rPr>
                <w:rFonts w:ascii="Times" w:hAnsi="Times"/>
                <w:color w:val="000000" w:themeColor="text1"/>
              </w:rPr>
            </w:pPr>
          </w:p>
        </w:tc>
        <w:tc>
          <w:tcPr>
            <w:tcW w:w="5280" w:type="dxa"/>
            <w:vMerge/>
            <w:tcBorders>
              <w:top w:val="nil"/>
            </w:tcBorders>
          </w:tcPr>
          <w:p w:rsidR="0013451B" w:rsidRPr="0013451B" w:rsidRDefault="0013451B" w:rsidP="0013451B">
            <w:pPr>
              <w:jc w:val="both"/>
              <w:rPr>
                <w:color w:val="000000" w:themeColor="text1"/>
                <w:sz w:val="20"/>
                <w:szCs w:val="20"/>
              </w:rPr>
            </w:pPr>
          </w:p>
        </w:tc>
        <w:tc>
          <w:tcPr>
            <w:tcW w:w="1543" w:type="dxa"/>
            <w:tcBorders>
              <w:right w:val="nil"/>
            </w:tcBorders>
          </w:tcPr>
          <w:p w:rsidR="0013451B" w:rsidRPr="0013451B" w:rsidRDefault="0013451B" w:rsidP="0013451B">
            <w:pPr>
              <w:pStyle w:val="TableParagraph"/>
              <w:spacing w:before="16" w:line="237" w:lineRule="exact"/>
              <w:ind w:left="101"/>
              <w:jc w:val="both"/>
              <w:rPr>
                <w:b/>
                <w:color w:val="000000" w:themeColor="text1"/>
                <w:sz w:val="20"/>
                <w:szCs w:val="20"/>
              </w:rPr>
            </w:pPr>
            <w:proofErr w:type="spellStart"/>
            <w:r w:rsidRPr="0013451B">
              <w:rPr>
                <w:b/>
                <w:color w:val="000000" w:themeColor="text1"/>
                <w:sz w:val="20"/>
                <w:szCs w:val="20"/>
              </w:rPr>
              <w:t>Sayfa</w:t>
            </w:r>
            <w:proofErr w:type="spellEnd"/>
            <w:r w:rsidRPr="0013451B">
              <w:rPr>
                <w:b/>
                <w:color w:val="000000" w:themeColor="text1"/>
                <w:sz w:val="20"/>
                <w:szCs w:val="20"/>
              </w:rPr>
              <w:t xml:space="preserve"> </w:t>
            </w:r>
            <w:proofErr w:type="spellStart"/>
            <w:r w:rsidRPr="0013451B">
              <w:rPr>
                <w:b/>
                <w:color w:val="000000" w:themeColor="text1"/>
                <w:sz w:val="20"/>
                <w:szCs w:val="20"/>
              </w:rPr>
              <w:t>Sayısı</w:t>
            </w:r>
            <w:proofErr w:type="spellEnd"/>
          </w:p>
        </w:tc>
        <w:tc>
          <w:tcPr>
            <w:tcW w:w="1577" w:type="dxa"/>
            <w:tcBorders>
              <w:left w:val="nil"/>
            </w:tcBorders>
          </w:tcPr>
          <w:p w:rsidR="0013451B" w:rsidRPr="0013451B" w:rsidRDefault="0013451B" w:rsidP="0013451B">
            <w:pPr>
              <w:pStyle w:val="TableParagraph"/>
              <w:spacing w:before="16" w:line="237" w:lineRule="exact"/>
              <w:ind w:left="217"/>
              <w:jc w:val="both"/>
              <w:rPr>
                <w:color w:val="000000" w:themeColor="text1"/>
                <w:sz w:val="20"/>
                <w:szCs w:val="20"/>
              </w:rPr>
            </w:pPr>
            <w:r w:rsidRPr="0013451B">
              <w:rPr>
                <w:color w:val="000000" w:themeColor="text1"/>
                <w:sz w:val="20"/>
                <w:szCs w:val="20"/>
              </w:rPr>
              <w:t xml:space="preserve">: </w:t>
            </w:r>
          </w:p>
        </w:tc>
      </w:tr>
      <w:tr w:rsidR="0013451B" w:rsidRPr="009664D3" w:rsidTr="0013451B">
        <w:trPr>
          <w:trHeight w:val="524"/>
        </w:trPr>
        <w:tc>
          <w:tcPr>
            <w:tcW w:w="2512" w:type="dxa"/>
            <w:vMerge/>
            <w:tcBorders>
              <w:top w:val="nil"/>
            </w:tcBorders>
          </w:tcPr>
          <w:p w:rsidR="0013451B" w:rsidRPr="009664D3" w:rsidRDefault="0013451B" w:rsidP="0013451B">
            <w:pPr>
              <w:jc w:val="both"/>
              <w:rPr>
                <w:rFonts w:ascii="Times" w:hAnsi="Times"/>
                <w:color w:val="000000" w:themeColor="text1"/>
              </w:rPr>
            </w:pPr>
          </w:p>
        </w:tc>
        <w:tc>
          <w:tcPr>
            <w:tcW w:w="5280" w:type="dxa"/>
            <w:vMerge/>
            <w:tcBorders>
              <w:top w:val="nil"/>
            </w:tcBorders>
          </w:tcPr>
          <w:p w:rsidR="0013451B" w:rsidRPr="0013451B" w:rsidRDefault="0013451B" w:rsidP="0013451B">
            <w:pPr>
              <w:jc w:val="both"/>
              <w:rPr>
                <w:color w:val="000000" w:themeColor="text1"/>
                <w:sz w:val="20"/>
                <w:szCs w:val="20"/>
              </w:rPr>
            </w:pPr>
          </w:p>
        </w:tc>
        <w:tc>
          <w:tcPr>
            <w:tcW w:w="1543" w:type="dxa"/>
            <w:tcBorders>
              <w:right w:val="nil"/>
            </w:tcBorders>
          </w:tcPr>
          <w:p w:rsidR="0013451B" w:rsidRPr="0013451B" w:rsidRDefault="0013451B" w:rsidP="0013451B">
            <w:pPr>
              <w:pStyle w:val="TableParagraph"/>
              <w:spacing w:before="1" w:line="240" w:lineRule="atLeast"/>
              <w:ind w:left="101" w:right="192"/>
              <w:jc w:val="both"/>
              <w:rPr>
                <w:b/>
                <w:color w:val="000000" w:themeColor="text1"/>
                <w:sz w:val="20"/>
                <w:szCs w:val="20"/>
              </w:rPr>
            </w:pPr>
            <w:proofErr w:type="spellStart"/>
            <w:r w:rsidRPr="0013451B">
              <w:rPr>
                <w:b/>
                <w:color w:val="000000" w:themeColor="text1"/>
                <w:sz w:val="20"/>
                <w:szCs w:val="20"/>
              </w:rPr>
              <w:t>Doküman</w:t>
            </w:r>
            <w:proofErr w:type="spellEnd"/>
            <w:r w:rsidRPr="0013451B">
              <w:rPr>
                <w:b/>
                <w:color w:val="000000" w:themeColor="text1"/>
                <w:sz w:val="20"/>
                <w:szCs w:val="20"/>
              </w:rPr>
              <w:t xml:space="preserve"> </w:t>
            </w:r>
            <w:proofErr w:type="spellStart"/>
            <w:r w:rsidRPr="0013451B">
              <w:rPr>
                <w:b/>
                <w:color w:val="000000" w:themeColor="text1"/>
                <w:sz w:val="20"/>
                <w:szCs w:val="20"/>
              </w:rPr>
              <w:t>Güncelliğinden</w:t>
            </w:r>
            <w:proofErr w:type="spellEnd"/>
            <w:r w:rsidRPr="0013451B">
              <w:rPr>
                <w:b/>
                <w:color w:val="000000" w:themeColor="text1"/>
                <w:sz w:val="20"/>
                <w:szCs w:val="20"/>
              </w:rPr>
              <w:t xml:space="preserve"> </w:t>
            </w:r>
            <w:proofErr w:type="spellStart"/>
            <w:r w:rsidRPr="0013451B">
              <w:rPr>
                <w:b/>
                <w:color w:val="000000" w:themeColor="text1"/>
                <w:sz w:val="20"/>
                <w:szCs w:val="20"/>
              </w:rPr>
              <w:t>Sorumlu</w:t>
            </w:r>
            <w:proofErr w:type="spellEnd"/>
            <w:r w:rsidRPr="0013451B">
              <w:rPr>
                <w:b/>
                <w:color w:val="000000" w:themeColor="text1"/>
                <w:sz w:val="20"/>
                <w:szCs w:val="20"/>
              </w:rPr>
              <w:t xml:space="preserve"> </w:t>
            </w:r>
            <w:proofErr w:type="spellStart"/>
            <w:r w:rsidRPr="0013451B">
              <w:rPr>
                <w:b/>
                <w:color w:val="000000" w:themeColor="text1"/>
                <w:sz w:val="20"/>
                <w:szCs w:val="20"/>
              </w:rPr>
              <w:t>Personel</w:t>
            </w:r>
            <w:proofErr w:type="spellEnd"/>
          </w:p>
        </w:tc>
        <w:tc>
          <w:tcPr>
            <w:tcW w:w="1577" w:type="dxa"/>
            <w:tcBorders>
              <w:left w:val="nil"/>
            </w:tcBorders>
          </w:tcPr>
          <w:p w:rsidR="0013451B" w:rsidRPr="0013451B" w:rsidRDefault="0013451B" w:rsidP="0013451B">
            <w:pPr>
              <w:pStyle w:val="TableParagraph"/>
              <w:spacing w:before="123"/>
              <w:ind w:left="217"/>
              <w:jc w:val="both"/>
              <w:rPr>
                <w:color w:val="000000" w:themeColor="text1"/>
                <w:sz w:val="20"/>
                <w:szCs w:val="20"/>
              </w:rPr>
            </w:pPr>
            <w:r w:rsidRPr="0013451B">
              <w:rPr>
                <w:color w:val="000000" w:themeColor="text1"/>
                <w:sz w:val="20"/>
                <w:szCs w:val="20"/>
              </w:rPr>
              <w:t xml:space="preserve">: </w:t>
            </w:r>
            <w:proofErr w:type="spellStart"/>
            <w:r w:rsidRPr="0013451B">
              <w:rPr>
                <w:color w:val="000000"/>
                <w:sz w:val="20"/>
                <w:szCs w:val="20"/>
              </w:rPr>
              <w:t>Araştırma</w:t>
            </w:r>
            <w:proofErr w:type="spellEnd"/>
            <w:r w:rsidRPr="0013451B">
              <w:rPr>
                <w:color w:val="000000"/>
                <w:sz w:val="20"/>
                <w:szCs w:val="20"/>
              </w:rPr>
              <w:t xml:space="preserve"> </w:t>
            </w:r>
            <w:proofErr w:type="spellStart"/>
            <w:r w:rsidRPr="0013451B">
              <w:rPr>
                <w:color w:val="000000"/>
                <w:sz w:val="20"/>
                <w:szCs w:val="20"/>
              </w:rPr>
              <w:t>ve</w:t>
            </w:r>
            <w:proofErr w:type="spellEnd"/>
            <w:r w:rsidRPr="0013451B">
              <w:rPr>
                <w:color w:val="000000"/>
                <w:sz w:val="20"/>
                <w:szCs w:val="20"/>
              </w:rPr>
              <w:t xml:space="preserve"> </w:t>
            </w:r>
            <w:proofErr w:type="spellStart"/>
            <w:r w:rsidRPr="0013451B">
              <w:rPr>
                <w:color w:val="000000"/>
                <w:sz w:val="20"/>
                <w:szCs w:val="20"/>
              </w:rPr>
              <w:t>Geliştirme</w:t>
            </w:r>
            <w:proofErr w:type="spellEnd"/>
            <w:r w:rsidRPr="0013451B">
              <w:rPr>
                <w:color w:val="000000"/>
                <w:sz w:val="20"/>
                <w:szCs w:val="20"/>
              </w:rPr>
              <w:t xml:space="preserve"> </w:t>
            </w:r>
            <w:proofErr w:type="spellStart"/>
            <w:r w:rsidRPr="0013451B">
              <w:rPr>
                <w:color w:val="000000"/>
                <w:sz w:val="20"/>
                <w:szCs w:val="20"/>
              </w:rPr>
              <w:t>Direktörü</w:t>
            </w:r>
            <w:proofErr w:type="spellEnd"/>
          </w:p>
        </w:tc>
      </w:tr>
    </w:tbl>
    <w:p w:rsidR="0013451B" w:rsidRDefault="0013451B" w:rsidP="0013451B">
      <w:pPr>
        <w:widowControl/>
        <w:autoSpaceDE/>
        <w:autoSpaceDN/>
        <w:spacing w:before="100" w:beforeAutospacing="1" w:after="100" w:afterAutospacing="1"/>
        <w:jc w:val="both"/>
        <w:rPr>
          <w:b/>
          <w:bCs/>
          <w:color w:val="000000"/>
          <w:sz w:val="24"/>
          <w:szCs w:val="24"/>
          <w:lang w:eastAsia="tr-TR"/>
        </w:rPr>
      </w:pPr>
    </w:p>
    <w:p w:rsidR="0013451B" w:rsidRPr="00614555" w:rsidRDefault="0013451B" w:rsidP="0013451B">
      <w:pPr>
        <w:widowControl/>
        <w:autoSpaceDE/>
        <w:autoSpaceDN/>
        <w:spacing w:before="100" w:beforeAutospacing="1" w:after="100" w:afterAutospacing="1"/>
        <w:jc w:val="both"/>
        <w:rPr>
          <w:color w:val="000000"/>
          <w:lang w:eastAsia="tr-TR"/>
        </w:rPr>
      </w:pPr>
      <w:r w:rsidRPr="00614555">
        <w:rPr>
          <w:b/>
          <w:bCs/>
          <w:color w:val="000000"/>
          <w:lang w:eastAsia="tr-TR"/>
        </w:rPr>
        <w:t>PUKÖ DÖNGÜSÜ ve SÜREÇLERİ</w:t>
      </w:r>
    </w:p>
    <w:p w:rsidR="0013451B" w:rsidRPr="00614555" w:rsidRDefault="0013451B" w:rsidP="0013451B">
      <w:pPr>
        <w:widowControl/>
        <w:numPr>
          <w:ilvl w:val="0"/>
          <w:numId w:val="1"/>
        </w:numPr>
        <w:autoSpaceDE/>
        <w:autoSpaceDN/>
        <w:spacing w:before="100" w:beforeAutospacing="1" w:after="100" w:afterAutospacing="1"/>
        <w:jc w:val="both"/>
        <w:rPr>
          <w:color w:val="000000"/>
          <w:lang w:eastAsia="tr-TR"/>
        </w:rPr>
      </w:pPr>
      <w:r w:rsidRPr="00614555">
        <w:rPr>
          <w:b/>
          <w:bCs/>
          <w:color w:val="000000"/>
          <w:lang w:eastAsia="tr-TR"/>
        </w:rPr>
        <w:t>Planlama</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Üniversitenin araştırma-geliştirme planlama, strateji ve politika geliştirme çalışmaları; üst yönetim ve ilgili birimler tarafından yürütülmektedir.</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Yasal mevzuatlar, kurum stratejik planı, kurum politikaları ve ulusal/uluslararası kalkınma planları doğrultusunda planlama yapılır.</w:t>
      </w:r>
    </w:p>
    <w:p w:rsidR="0013451B" w:rsidRPr="00614555" w:rsidRDefault="0013451B" w:rsidP="0013451B">
      <w:pPr>
        <w:widowControl/>
        <w:numPr>
          <w:ilvl w:val="0"/>
          <w:numId w:val="1"/>
        </w:numPr>
        <w:autoSpaceDE/>
        <w:autoSpaceDN/>
        <w:spacing w:before="100" w:beforeAutospacing="1" w:after="100" w:afterAutospacing="1"/>
        <w:jc w:val="both"/>
        <w:rPr>
          <w:color w:val="000000"/>
          <w:lang w:eastAsia="tr-TR"/>
        </w:rPr>
      </w:pPr>
      <w:r w:rsidRPr="00614555">
        <w:rPr>
          <w:b/>
          <w:bCs/>
          <w:color w:val="000000"/>
          <w:lang w:eastAsia="tr-TR"/>
        </w:rPr>
        <w:t>Uygulama</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Üniversitenin belirlenen araştırma-geliştirme planlarının uygulanması; tüm akademik birimler, uygulama ve araştırma merkezleri tarafından gerçekleştirilmektedir.</w:t>
      </w:r>
    </w:p>
    <w:p w:rsidR="0013451B" w:rsidRPr="00614555" w:rsidRDefault="0013451B" w:rsidP="0013451B">
      <w:pPr>
        <w:widowControl/>
        <w:numPr>
          <w:ilvl w:val="0"/>
          <w:numId w:val="1"/>
        </w:numPr>
        <w:autoSpaceDE/>
        <w:autoSpaceDN/>
        <w:spacing w:before="100" w:beforeAutospacing="1" w:after="100" w:afterAutospacing="1"/>
        <w:jc w:val="both"/>
        <w:rPr>
          <w:color w:val="000000"/>
          <w:lang w:eastAsia="tr-TR"/>
        </w:rPr>
      </w:pPr>
      <w:r w:rsidRPr="00614555">
        <w:rPr>
          <w:b/>
          <w:bCs/>
          <w:color w:val="000000"/>
          <w:lang w:eastAsia="tr-TR"/>
        </w:rPr>
        <w:t>Kontrol Et</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Araştırma-geliştirme süreçleri, amaca uygunluk ve toplumsal katkı açısından değerlendirilir.</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İzleme ve değerlendirme süreçleri; faaliyet raporları, performans göstergeleri, paydaş geri bildirimleri ve ilgili değerlendirme araçlarıyla gerçekleştirilir.</w:t>
      </w:r>
    </w:p>
    <w:p w:rsidR="0013451B" w:rsidRPr="00614555" w:rsidRDefault="0013451B" w:rsidP="0013451B">
      <w:pPr>
        <w:widowControl/>
        <w:numPr>
          <w:ilvl w:val="0"/>
          <w:numId w:val="1"/>
        </w:numPr>
        <w:autoSpaceDE/>
        <w:autoSpaceDN/>
        <w:spacing w:before="100" w:beforeAutospacing="1" w:after="100" w:afterAutospacing="1"/>
        <w:jc w:val="both"/>
        <w:rPr>
          <w:color w:val="000000"/>
          <w:lang w:eastAsia="tr-TR"/>
        </w:rPr>
      </w:pPr>
      <w:r w:rsidRPr="00614555">
        <w:rPr>
          <w:b/>
          <w:bCs/>
          <w:color w:val="000000"/>
          <w:lang w:eastAsia="tr-TR"/>
        </w:rPr>
        <w:t>Önlem Al</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İzlenen performans verileri, üst yönetim ve ilgili birimler tarafından araştırma amaç ve hedeflerinin geliştirilmesi için kullanılır.</w:t>
      </w:r>
    </w:p>
    <w:p w:rsidR="0013451B" w:rsidRPr="00614555" w:rsidRDefault="0013451B" w:rsidP="0013451B">
      <w:pPr>
        <w:widowControl/>
        <w:numPr>
          <w:ilvl w:val="1"/>
          <w:numId w:val="1"/>
        </w:numPr>
        <w:autoSpaceDE/>
        <w:autoSpaceDN/>
        <w:spacing w:before="100" w:beforeAutospacing="1" w:after="100" w:afterAutospacing="1"/>
        <w:jc w:val="both"/>
        <w:rPr>
          <w:color w:val="000000"/>
          <w:lang w:eastAsia="tr-TR"/>
        </w:rPr>
      </w:pPr>
      <w:r w:rsidRPr="00614555">
        <w:rPr>
          <w:color w:val="000000"/>
          <w:lang w:eastAsia="tr-TR"/>
        </w:rPr>
        <w:t>İhtiyaç duyulan iyileştirmeler belirlenir ve ilgili güncellemeler yapılır.</w:t>
      </w:r>
    </w:p>
    <w:p w:rsidR="0013451B" w:rsidRPr="00614555" w:rsidRDefault="00F113A8" w:rsidP="0013451B">
      <w:pPr>
        <w:widowControl/>
        <w:autoSpaceDE/>
        <w:autoSpaceDN/>
        <w:jc w:val="both"/>
        <w:rPr>
          <w:lang w:eastAsia="tr-TR"/>
        </w:rPr>
      </w:pPr>
      <w:r w:rsidRPr="00F113A8">
        <w:rPr>
          <w:noProof/>
          <w:lang w:eastAsia="tr-TR"/>
          <w14:ligatures w14:val="standardContextual"/>
        </w:rPr>
        <w:pict>
          <v:rect id="_x0000_i1025" alt="" style="width:453.6pt;height:.05pt;mso-width-percent:0;mso-height-percent:0;mso-width-percent:0;mso-height-percent:0" o:hralign="center" o:hrstd="t" o:hrnoshade="t" o:hr="t" fillcolor="black" stroked="f"/>
        </w:pict>
      </w:r>
    </w:p>
    <w:p w:rsidR="0013451B" w:rsidRPr="00614555" w:rsidRDefault="0013451B" w:rsidP="0013451B">
      <w:pPr>
        <w:widowControl/>
        <w:autoSpaceDE/>
        <w:autoSpaceDN/>
        <w:spacing w:before="100" w:beforeAutospacing="1" w:after="100" w:afterAutospacing="1"/>
        <w:jc w:val="both"/>
        <w:rPr>
          <w:color w:val="000000"/>
          <w:lang w:eastAsia="tr-TR"/>
        </w:rPr>
      </w:pPr>
      <w:r w:rsidRPr="00614555">
        <w:rPr>
          <w:b/>
          <w:bCs/>
          <w:color w:val="000000"/>
          <w:lang w:eastAsia="tr-TR"/>
        </w:rPr>
        <w:t>Alınacak Aksiyonlar ve Sorumlu Birimler</w:t>
      </w:r>
    </w:p>
    <w:p w:rsidR="0013451B" w:rsidRPr="00614555" w:rsidRDefault="0013451B" w:rsidP="0013451B">
      <w:pPr>
        <w:widowControl/>
        <w:numPr>
          <w:ilvl w:val="0"/>
          <w:numId w:val="2"/>
        </w:numPr>
        <w:autoSpaceDE/>
        <w:autoSpaceDN/>
        <w:spacing w:before="100" w:beforeAutospacing="1" w:after="100" w:afterAutospacing="1"/>
        <w:jc w:val="both"/>
        <w:rPr>
          <w:color w:val="000000"/>
          <w:lang w:eastAsia="tr-TR"/>
        </w:rPr>
      </w:pPr>
      <w:r w:rsidRPr="00614555">
        <w:rPr>
          <w:b/>
          <w:bCs/>
          <w:color w:val="000000"/>
          <w:lang w:eastAsia="tr-TR"/>
        </w:rPr>
        <w:t>Araştırma ve Geliştirme Faaliyetlerinin Planlanması</w:t>
      </w:r>
    </w:p>
    <w:p w:rsidR="0013451B" w:rsidRPr="00614555" w:rsidRDefault="0013451B" w:rsidP="0013451B">
      <w:pPr>
        <w:widowControl/>
        <w:numPr>
          <w:ilvl w:val="1"/>
          <w:numId w:val="2"/>
        </w:numPr>
        <w:autoSpaceDE/>
        <w:autoSpaceDN/>
        <w:spacing w:before="100" w:beforeAutospacing="1" w:after="100" w:afterAutospacing="1"/>
        <w:jc w:val="both"/>
        <w:rPr>
          <w:color w:val="000000"/>
          <w:lang w:eastAsia="tr-TR"/>
        </w:rPr>
      </w:pPr>
      <w:r w:rsidRPr="00614555">
        <w:rPr>
          <w:color w:val="000000"/>
          <w:lang w:eastAsia="tr-TR"/>
        </w:rPr>
        <w:t>Yönetim Kurulu, Strateji Geliştirme Daire Başkanlığı, Araştırma ve Geliştirme Direktörlüğü, Araştırma Merkezleri İzleme ve Değerlendirme Koordinatörlüğü, Bilimsel Araştırma Projeleri Koordinasyon Birimi, Bilimsel Yayın ve Dergiler Koordinatörlüğü, Kalite Güvence Komitesi, Kalite Geliştirme ve Kurumsal İzleme Koordinatörlüğü, Sürdürülebilirlik Ofisi Koordinatörlüğü, Tüm Akademik Birimler, Uygulama ve Araştırma Merkezleri.</w:t>
      </w:r>
    </w:p>
    <w:p w:rsidR="0013451B" w:rsidRPr="00614555" w:rsidRDefault="0013451B" w:rsidP="0013451B">
      <w:pPr>
        <w:widowControl/>
        <w:numPr>
          <w:ilvl w:val="0"/>
          <w:numId w:val="2"/>
        </w:numPr>
        <w:autoSpaceDE/>
        <w:autoSpaceDN/>
        <w:spacing w:before="100" w:beforeAutospacing="1" w:after="100" w:afterAutospacing="1"/>
        <w:jc w:val="both"/>
        <w:rPr>
          <w:color w:val="000000"/>
          <w:lang w:eastAsia="tr-TR"/>
        </w:rPr>
      </w:pPr>
      <w:r w:rsidRPr="00614555">
        <w:rPr>
          <w:b/>
          <w:bCs/>
          <w:color w:val="000000"/>
          <w:lang w:eastAsia="tr-TR"/>
        </w:rPr>
        <w:t>Araştırma ve Geliştirme Faaliyetlerinin Gerçekleştirilmesi</w:t>
      </w:r>
    </w:p>
    <w:p w:rsidR="0013451B" w:rsidRPr="00614555" w:rsidRDefault="0013451B" w:rsidP="0013451B">
      <w:pPr>
        <w:widowControl/>
        <w:numPr>
          <w:ilvl w:val="1"/>
          <w:numId w:val="2"/>
        </w:numPr>
        <w:autoSpaceDE/>
        <w:autoSpaceDN/>
        <w:spacing w:before="100" w:beforeAutospacing="1" w:after="100" w:afterAutospacing="1"/>
        <w:jc w:val="both"/>
        <w:rPr>
          <w:color w:val="000000"/>
          <w:lang w:eastAsia="tr-TR"/>
        </w:rPr>
      </w:pPr>
      <w:r w:rsidRPr="00614555">
        <w:rPr>
          <w:color w:val="000000"/>
          <w:lang w:eastAsia="tr-TR"/>
        </w:rPr>
        <w:t>Tüm Akademik Birimler, Uygulama ve Araştırma Merkezleri, Araştırma Grupları, Çanakkale Teknopark ve Teknoloji Transfer Ofisi (TTO).</w:t>
      </w:r>
    </w:p>
    <w:p w:rsidR="0013451B" w:rsidRPr="00614555" w:rsidRDefault="0013451B" w:rsidP="0013451B">
      <w:pPr>
        <w:widowControl/>
        <w:numPr>
          <w:ilvl w:val="0"/>
          <w:numId w:val="2"/>
        </w:numPr>
        <w:autoSpaceDE/>
        <w:autoSpaceDN/>
        <w:spacing w:before="100" w:beforeAutospacing="1" w:after="100" w:afterAutospacing="1"/>
        <w:jc w:val="both"/>
        <w:rPr>
          <w:color w:val="000000"/>
          <w:lang w:eastAsia="tr-TR"/>
        </w:rPr>
      </w:pPr>
      <w:r w:rsidRPr="00614555">
        <w:rPr>
          <w:b/>
          <w:bCs/>
          <w:color w:val="000000"/>
          <w:lang w:eastAsia="tr-TR"/>
        </w:rPr>
        <w:t>Araştırma-Geliştirme Faaliyeti Kapsamındaki Çıktıların İzlenmesi, Değerlendirilmesi ve Paydaş Geri Bildirimleri</w:t>
      </w:r>
    </w:p>
    <w:p w:rsidR="0013451B" w:rsidRPr="00614555" w:rsidRDefault="0013451B" w:rsidP="0013451B">
      <w:pPr>
        <w:widowControl/>
        <w:numPr>
          <w:ilvl w:val="1"/>
          <w:numId w:val="2"/>
        </w:numPr>
        <w:autoSpaceDE/>
        <w:autoSpaceDN/>
        <w:spacing w:before="100" w:beforeAutospacing="1" w:after="100" w:afterAutospacing="1"/>
        <w:jc w:val="both"/>
        <w:rPr>
          <w:color w:val="000000"/>
          <w:lang w:eastAsia="tr-TR"/>
        </w:rPr>
      </w:pPr>
      <w:r w:rsidRPr="00614555">
        <w:rPr>
          <w:color w:val="000000"/>
          <w:lang w:eastAsia="tr-TR"/>
        </w:rPr>
        <w:t>Yönetim Kurulu, Strateji Geliştirme Daire Başkanlığı, Araştırma ve Geliştirme Direktörlüğü, Araştırma Merkezleri İzleme ve Değerlendirme Koordinatörlüğü, Bilimsel Araştırma Projeleri Koordinasyon Birimi, Bilimsel Yayın ve Dergiler Koordinatörlüğü, Kalite Güvence Komitesi, Kalite Geliştirme ve Kurumsal İzleme Koordinatörlüğü, Sürdürülebilirlik Ofisi Koordinatörlüğü, Çanakkale Teknopark ve TTO, Tüm Akademik Birimler, Uygulama ve Araştırma Merkezleri.</w:t>
      </w:r>
    </w:p>
    <w:p w:rsidR="0013451B" w:rsidRPr="00614555" w:rsidRDefault="0013451B" w:rsidP="0013451B">
      <w:pPr>
        <w:widowControl/>
        <w:numPr>
          <w:ilvl w:val="0"/>
          <w:numId w:val="2"/>
        </w:numPr>
        <w:autoSpaceDE/>
        <w:autoSpaceDN/>
        <w:spacing w:before="100" w:beforeAutospacing="1" w:after="100" w:afterAutospacing="1"/>
        <w:jc w:val="both"/>
        <w:rPr>
          <w:color w:val="000000"/>
          <w:lang w:eastAsia="tr-TR"/>
        </w:rPr>
      </w:pPr>
      <w:r w:rsidRPr="00614555">
        <w:rPr>
          <w:b/>
          <w:bCs/>
          <w:color w:val="000000"/>
          <w:lang w:eastAsia="tr-TR"/>
        </w:rPr>
        <w:t>İyileştirme Çalışmaları</w:t>
      </w:r>
    </w:p>
    <w:p w:rsidR="0013451B" w:rsidRPr="00614555" w:rsidRDefault="0013451B" w:rsidP="0013451B">
      <w:pPr>
        <w:widowControl/>
        <w:numPr>
          <w:ilvl w:val="1"/>
          <w:numId w:val="2"/>
        </w:numPr>
        <w:autoSpaceDE/>
        <w:autoSpaceDN/>
        <w:spacing w:before="100" w:beforeAutospacing="1" w:after="100" w:afterAutospacing="1"/>
        <w:jc w:val="both"/>
        <w:rPr>
          <w:color w:val="000000"/>
          <w:lang w:eastAsia="tr-TR"/>
        </w:rPr>
      </w:pPr>
      <w:r w:rsidRPr="00614555">
        <w:rPr>
          <w:color w:val="000000"/>
          <w:lang w:eastAsia="tr-TR"/>
        </w:rPr>
        <w:lastRenderedPageBreak/>
        <w:t>Yönetim Kurulu, Senato, Strateji Geliştirme Daire Başkanlığı, Kalite Güvence Komitesi, Araştırma ve Geliştirme Direktörlüğü, Araştırma Merkezleri İzleme ve Değerlendirme Koordinatörlüğü, Bilimsel Araştırma Projeleri Koordinasyon Birimi, Bilimsel Yayın ve Dergiler Koordinatörlüğü, Faaliyet gerçekleştiren ilgili tüm akademik birimler, uygulama ve araştırma merkezleri, Çanakkale Teknopark ve TTO.</w:t>
      </w:r>
    </w:p>
    <w:p w:rsidR="003C4474" w:rsidRDefault="003C4474" w:rsidP="003C4474">
      <w:pPr>
        <w:ind w:left="360"/>
        <w:jc w:val="center"/>
        <w:rPr>
          <w:rFonts w:ascii="Times" w:hAnsi="Times"/>
          <w:b/>
          <w:color w:val="000000" w:themeColor="text1"/>
        </w:rPr>
      </w:pPr>
    </w:p>
    <w:p w:rsidR="003C4474" w:rsidRDefault="003C4474" w:rsidP="00614555">
      <w:pPr>
        <w:rPr>
          <w:rFonts w:ascii="Times" w:hAnsi="Times"/>
          <w:b/>
          <w:color w:val="000000" w:themeColor="text1"/>
        </w:rPr>
      </w:pPr>
    </w:p>
    <w:p w:rsidR="003C4474" w:rsidRDefault="003C4474" w:rsidP="003C4474">
      <w:pPr>
        <w:ind w:left="360"/>
        <w:jc w:val="center"/>
        <w:rPr>
          <w:rFonts w:ascii="Times" w:hAnsi="Times"/>
          <w:b/>
          <w:color w:val="000000" w:themeColor="text1"/>
        </w:rPr>
      </w:pPr>
    </w:p>
    <w:p w:rsidR="003C4474" w:rsidRDefault="003C4474" w:rsidP="003C4474">
      <w:pPr>
        <w:ind w:left="360"/>
        <w:jc w:val="center"/>
        <w:rPr>
          <w:rFonts w:ascii="Times" w:hAnsi="Times"/>
          <w:b/>
          <w:color w:val="000000" w:themeColor="text1"/>
        </w:rPr>
      </w:pPr>
    </w:p>
    <w:p w:rsidR="003C4474" w:rsidRPr="003C4474" w:rsidRDefault="003C4474" w:rsidP="003C4474">
      <w:pPr>
        <w:ind w:left="360"/>
        <w:jc w:val="center"/>
        <w:rPr>
          <w:rFonts w:ascii="Times" w:hAnsi="Times"/>
          <w:b/>
          <w:color w:val="000000" w:themeColor="text1"/>
        </w:rPr>
      </w:pPr>
      <w:r w:rsidRPr="003C4474">
        <w:rPr>
          <w:rFonts w:ascii="Times" w:hAnsi="Times"/>
          <w:b/>
          <w:color w:val="000000" w:themeColor="text1"/>
        </w:rPr>
        <w:t>ONAYLAYAN</w:t>
      </w:r>
    </w:p>
    <w:p w:rsidR="003C4474" w:rsidRPr="003C4474" w:rsidRDefault="003C4474" w:rsidP="003C4474">
      <w:pPr>
        <w:ind w:left="360"/>
        <w:jc w:val="center"/>
        <w:rPr>
          <w:rFonts w:ascii="Times" w:hAnsi="Times"/>
          <w:color w:val="000000" w:themeColor="text1"/>
        </w:rPr>
      </w:pPr>
    </w:p>
    <w:p w:rsidR="003C4474" w:rsidRPr="003C4474" w:rsidRDefault="003C4474" w:rsidP="003C4474">
      <w:pPr>
        <w:ind w:left="360"/>
        <w:jc w:val="center"/>
        <w:rPr>
          <w:rFonts w:ascii="Times" w:hAnsi="Times"/>
          <w:b/>
          <w:i/>
          <w:color w:val="000000" w:themeColor="text1"/>
        </w:rPr>
      </w:pPr>
      <w:r w:rsidRPr="003C4474">
        <w:rPr>
          <w:rFonts w:ascii="Times" w:hAnsi="Times"/>
          <w:color w:val="000000" w:themeColor="text1"/>
        </w:rPr>
        <w:t>Koordinatör</w:t>
      </w:r>
    </w:p>
    <w:p w:rsidR="003C4474" w:rsidRPr="003C4474" w:rsidRDefault="003C4474" w:rsidP="003C4474">
      <w:pPr>
        <w:ind w:left="360"/>
        <w:jc w:val="both"/>
        <w:rPr>
          <w:rFonts w:ascii="Times" w:hAnsi="Times"/>
          <w:b/>
          <w:color w:val="000000" w:themeColor="text1"/>
        </w:rPr>
      </w:pPr>
    </w:p>
    <w:p w:rsidR="0013451B" w:rsidRDefault="0013451B" w:rsidP="003C4474">
      <w:pPr>
        <w:jc w:val="both"/>
      </w:pPr>
    </w:p>
    <w:sectPr w:rsidR="00134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E74"/>
    <w:multiLevelType w:val="multilevel"/>
    <w:tmpl w:val="39EEE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8420F"/>
    <w:multiLevelType w:val="multilevel"/>
    <w:tmpl w:val="F560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70083">
    <w:abstractNumId w:val="0"/>
  </w:num>
  <w:num w:numId="2" w16cid:durableId="141446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1B"/>
    <w:rsid w:val="00074C76"/>
    <w:rsid w:val="0013451B"/>
    <w:rsid w:val="0016771B"/>
    <w:rsid w:val="003C4474"/>
    <w:rsid w:val="00614555"/>
    <w:rsid w:val="00A03710"/>
    <w:rsid w:val="00A834B7"/>
    <w:rsid w:val="00AF2AD4"/>
    <w:rsid w:val="00C239AB"/>
    <w:rsid w:val="00D85492"/>
    <w:rsid w:val="00DB04A5"/>
    <w:rsid w:val="00F11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9B94"/>
  <w15:chartTrackingRefBased/>
  <w15:docId w15:val="{E2CAB7EC-D4FD-A947-B943-EEA62587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51B"/>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3451B"/>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451B"/>
  </w:style>
  <w:style w:type="paragraph" w:styleId="NormalWeb">
    <w:name w:val="Normal (Web)"/>
    <w:basedOn w:val="Normal"/>
    <w:uiPriority w:val="99"/>
    <w:semiHidden/>
    <w:unhideWhenUsed/>
    <w:rsid w:val="0013451B"/>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13451B"/>
    <w:rPr>
      <w:b/>
      <w:bCs/>
    </w:rPr>
  </w:style>
  <w:style w:type="paragraph" w:styleId="ListeParagraf">
    <w:name w:val="List Paragraph"/>
    <w:basedOn w:val="Normal"/>
    <w:uiPriority w:val="34"/>
    <w:qFormat/>
    <w:rsid w:val="003C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2024-06-26T12:00:00Z</dcterms:created>
  <dcterms:modified xsi:type="dcterms:W3CDTF">2024-06-26T12:28:00Z</dcterms:modified>
</cp:coreProperties>
</file>