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-211"/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5280"/>
        <w:gridCol w:w="1701"/>
        <w:gridCol w:w="1419"/>
      </w:tblGrid>
      <w:tr w:rsidR="007873B1" w:rsidRPr="009664D3" w14:paraId="2DD7FF91" w14:textId="77777777" w:rsidTr="00B64239">
        <w:trPr>
          <w:trHeight w:val="195"/>
        </w:trPr>
        <w:tc>
          <w:tcPr>
            <w:tcW w:w="2512" w:type="dxa"/>
            <w:vMerge w:val="restart"/>
          </w:tcPr>
          <w:p w14:paraId="294D83D7" w14:textId="77777777" w:rsidR="007873B1" w:rsidRPr="009664D3" w:rsidRDefault="007873B1" w:rsidP="007873B1">
            <w:pPr>
              <w:pStyle w:val="TableParagraph"/>
              <w:spacing w:before="9" w:after="1"/>
              <w:jc w:val="both"/>
              <w:rPr>
                <w:rFonts w:ascii="Times" w:hAnsi="Times"/>
                <w:color w:val="000000" w:themeColor="text1"/>
              </w:rPr>
            </w:pPr>
          </w:p>
          <w:p w14:paraId="1DC79611" w14:textId="77777777" w:rsidR="007873B1" w:rsidRPr="009664D3" w:rsidRDefault="007873B1" w:rsidP="007873B1">
            <w:pPr>
              <w:pStyle w:val="TableParagraph"/>
              <w:ind w:left="797" w:hanging="551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noProof/>
                <w:color w:val="000000" w:themeColor="text1"/>
              </w:rPr>
              <w:drawing>
                <wp:inline distT="0" distB="0" distL="0" distR="0" wp14:anchorId="38585B76" wp14:editId="30B99CF4">
                  <wp:extent cx="1182030" cy="1167161"/>
                  <wp:effectExtent l="0" t="0" r="0" b="127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68" cy="118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vMerge w:val="restart"/>
          </w:tcPr>
          <w:p w14:paraId="0CD4BE2E" w14:textId="77777777" w:rsidR="007873B1" w:rsidRPr="007873B1" w:rsidRDefault="007873B1" w:rsidP="007873B1">
            <w:pPr>
              <w:pStyle w:val="TableParagraph"/>
              <w:spacing w:before="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890A06F" w14:textId="77777777" w:rsidR="007873B1" w:rsidRPr="007873B1" w:rsidRDefault="007873B1" w:rsidP="007873B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73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ÇANAKKALE ONSEKİZ MART ÜNİVERSİTESİ</w:t>
            </w:r>
          </w:p>
          <w:p w14:paraId="3F67A53B" w14:textId="77777777" w:rsidR="007873B1" w:rsidRPr="007873B1" w:rsidRDefault="007873B1" w:rsidP="007873B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73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BİLİMSEL YAYIN VE DERGİLER KOORDİNATÖRLÜĞÜ</w:t>
            </w:r>
          </w:p>
          <w:p w14:paraId="063A9949" w14:textId="77777777" w:rsidR="007873B1" w:rsidRPr="007873B1" w:rsidRDefault="007873B1" w:rsidP="007873B1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73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TOPLUMSAL KATKI SÜRECİNDE</w:t>
            </w:r>
          </w:p>
          <w:p w14:paraId="111738A0" w14:textId="2A89BF33" w:rsidR="007873B1" w:rsidRPr="007D2C93" w:rsidRDefault="007873B1" w:rsidP="007873B1">
            <w:pPr>
              <w:pStyle w:val="NormalWeb"/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873B1">
              <w:rPr>
                <w:b/>
                <w:bCs/>
                <w:color w:val="000000"/>
                <w:sz w:val="20"/>
                <w:szCs w:val="20"/>
              </w:rPr>
              <w:t xml:space="preserve">PUKÖ DÖNGÜSÜ </w:t>
            </w:r>
            <w:r w:rsidR="00D54B85">
              <w:rPr>
                <w:b/>
                <w:bCs/>
                <w:color w:val="000000"/>
                <w:sz w:val="20"/>
                <w:szCs w:val="20"/>
              </w:rPr>
              <w:t>V</w:t>
            </w:r>
            <w:r w:rsidRPr="007873B1">
              <w:rPr>
                <w:b/>
                <w:bCs/>
                <w:color w:val="000000"/>
                <w:sz w:val="20"/>
                <w:szCs w:val="20"/>
              </w:rPr>
              <w:t>e SÜREÇ TAKVİMİ</w:t>
            </w:r>
          </w:p>
        </w:tc>
        <w:tc>
          <w:tcPr>
            <w:tcW w:w="1701" w:type="dxa"/>
            <w:tcBorders>
              <w:right w:val="nil"/>
            </w:tcBorders>
          </w:tcPr>
          <w:p w14:paraId="42E400F5" w14:textId="77777777" w:rsidR="007873B1" w:rsidRPr="0013451B" w:rsidRDefault="007873B1" w:rsidP="007873B1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451B">
              <w:rPr>
                <w:b/>
                <w:color w:val="000000" w:themeColor="text1"/>
                <w:sz w:val="20"/>
                <w:szCs w:val="20"/>
              </w:rPr>
              <w:t>Doküman Kodu</w:t>
            </w:r>
          </w:p>
        </w:tc>
        <w:tc>
          <w:tcPr>
            <w:tcW w:w="1419" w:type="dxa"/>
            <w:tcBorders>
              <w:left w:val="nil"/>
            </w:tcBorders>
          </w:tcPr>
          <w:p w14:paraId="40057EA3" w14:textId="77777777" w:rsidR="007873B1" w:rsidRPr="0013451B" w:rsidRDefault="007873B1" w:rsidP="007873B1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873B1" w:rsidRPr="009664D3" w14:paraId="7D9347CE" w14:textId="77777777" w:rsidTr="00B64239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52743B09" w14:textId="77777777"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5009AE8C" w14:textId="77777777"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E7A0861" w14:textId="77777777" w:rsidR="007873B1" w:rsidRPr="0013451B" w:rsidRDefault="007873B1" w:rsidP="007873B1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19" w:type="dxa"/>
            <w:tcBorders>
              <w:left w:val="nil"/>
            </w:tcBorders>
          </w:tcPr>
          <w:p w14:paraId="4AA02AB5" w14:textId="77777777" w:rsidR="007873B1" w:rsidRPr="0013451B" w:rsidRDefault="007873B1" w:rsidP="007873B1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873B1" w:rsidRPr="009664D3" w14:paraId="7426AAAC" w14:textId="77777777" w:rsidTr="00B64239">
        <w:trPr>
          <w:trHeight w:val="196"/>
        </w:trPr>
        <w:tc>
          <w:tcPr>
            <w:tcW w:w="2512" w:type="dxa"/>
            <w:vMerge/>
            <w:tcBorders>
              <w:top w:val="nil"/>
            </w:tcBorders>
          </w:tcPr>
          <w:p w14:paraId="163692D0" w14:textId="77777777"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46AAFB78" w14:textId="77777777"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87E167E" w14:textId="77777777" w:rsidR="007873B1" w:rsidRPr="0013451B" w:rsidRDefault="007873B1" w:rsidP="007873B1">
            <w:pPr>
              <w:pStyle w:val="TableParagraph"/>
              <w:spacing w:before="18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1419" w:type="dxa"/>
            <w:tcBorders>
              <w:left w:val="nil"/>
            </w:tcBorders>
          </w:tcPr>
          <w:p w14:paraId="0831A8D5" w14:textId="77777777" w:rsidR="007873B1" w:rsidRPr="0013451B" w:rsidRDefault="007873B1" w:rsidP="007873B1">
            <w:pPr>
              <w:pStyle w:val="TableParagraph"/>
              <w:spacing w:before="18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873B1" w:rsidRPr="009664D3" w14:paraId="3B32E62F" w14:textId="77777777" w:rsidTr="00B64239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0A6E8AA3" w14:textId="77777777"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4DC95652" w14:textId="77777777"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0017017" w14:textId="77777777" w:rsidR="007873B1" w:rsidRPr="0013451B" w:rsidRDefault="007873B1" w:rsidP="007873B1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  <w:tc>
          <w:tcPr>
            <w:tcW w:w="1419" w:type="dxa"/>
            <w:tcBorders>
              <w:left w:val="nil"/>
            </w:tcBorders>
          </w:tcPr>
          <w:p w14:paraId="1235F634" w14:textId="77777777" w:rsidR="007873B1" w:rsidRPr="0013451B" w:rsidRDefault="007873B1" w:rsidP="007873B1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7873B1" w:rsidRPr="009664D3" w14:paraId="377F3CEC" w14:textId="77777777" w:rsidTr="00B64239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2AB562E1" w14:textId="77777777"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0B9F285C" w14:textId="77777777"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3DC03FF" w14:textId="77777777" w:rsidR="007873B1" w:rsidRPr="0013451B" w:rsidRDefault="007873B1" w:rsidP="007873B1">
            <w:pPr>
              <w:pStyle w:val="TableParagraph"/>
              <w:spacing w:before="16" w:line="237" w:lineRule="exact"/>
              <w:ind w:left="101"/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Sayfa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419" w:type="dxa"/>
            <w:tcBorders>
              <w:left w:val="nil"/>
            </w:tcBorders>
          </w:tcPr>
          <w:p w14:paraId="5A923EC7" w14:textId="77777777" w:rsidR="007873B1" w:rsidRPr="0013451B" w:rsidRDefault="007873B1" w:rsidP="007873B1">
            <w:pPr>
              <w:pStyle w:val="TableParagraph"/>
              <w:spacing w:before="16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7873B1" w:rsidRPr="009664D3" w14:paraId="158FF903" w14:textId="77777777" w:rsidTr="00B64239">
        <w:trPr>
          <w:trHeight w:val="524"/>
        </w:trPr>
        <w:tc>
          <w:tcPr>
            <w:tcW w:w="2512" w:type="dxa"/>
            <w:vMerge/>
            <w:tcBorders>
              <w:top w:val="nil"/>
            </w:tcBorders>
          </w:tcPr>
          <w:p w14:paraId="27510167" w14:textId="77777777" w:rsidR="007873B1" w:rsidRPr="009664D3" w:rsidRDefault="007873B1" w:rsidP="007873B1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69AF93D3" w14:textId="77777777" w:rsidR="007873B1" w:rsidRPr="0013451B" w:rsidRDefault="007873B1" w:rsidP="007873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FC6E377" w14:textId="77777777" w:rsidR="007873B1" w:rsidRPr="0013451B" w:rsidRDefault="007873B1" w:rsidP="007873B1">
            <w:pPr>
              <w:pStyle w:val="TableParagraph"/>
              <w:spacing w:before="1" w:line="240" w:lineRule="atLeast"/>
              <w:ind w:left="101" w:right="192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Doküman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Güncelliğinden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Sorumlu</w:t>
            </w:r>
            <w:proofErr w:type="spellEnd"/>
            <w:r w:rsidRPr="001345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51B">
              <w:rPr>
                <w:b/>
                <w:color w:val="000000" w:themeColor="text1"/>
                <w:sz w:val="20"/>
                <w:szCs w:val="20"/>
              </w:rPr>
              <w:t>Personel</w:t>
            </w:r>
            <w:proofErr w:type="spellEnd"/>
          </w:p>
        </w:tc>
        <w:tc>
          <w:tcPr>
            <w:tcW w:w="1419" w:type="dxa"/>
            <w:tcBorders>
              <w:left w:val="nil"/>
            </w:tcBorders>
          </w:tcPr>
          <w:p w14:paraId="58793782" w14:textId="590F223C" w:rsidR="007873B1" w:rsidRDefault="007873B1" w:rsidP="007873B1">
            <w:pPr>
              <w:pStyle w:val="TableParagraph"/>
              <w:spacing w:before="123"/>
              <w:ind w:left="217"/>
              <w:jc w:val="both"/>
              <w:rPr>
                <w:color w:val="000000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596933">
              <w:rPr>
                <w:color w:val="000000" w:themeColor="text1"/>
                <w:sz w:val="20"/>
                <w:szCs w:val="20"/>
              </w:rPr>
              <w:t>Bilimsel</w:t>
            </w:r>
            <w:proofErr w:type="spellEnd"/>
            <w:r w:rsidR="005969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6933">
              <w:rPr>
                <w:color w:val="000000" w:themeColor="text1"/>
                <w:sz w:val="20"/>
                <w:szCs w:val="20"/>
              </w:rPr>
              <w:t>Yayın</w:t>
            </w:r>
            <w:proofErr w:type="spellEnd"/>
            <w:r w:rsidR="005969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6933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="005969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6933">
              <w:rPr>
                <w:color w:val="000000" w:themeColor="text1"/>
                <w:sz w:val="20"/>
                <w:szCs w:val="20"/>
              </w:rPr>
              <w:t>Dergiler</w:t>
            </w:r>
            <w:proofErr w:type="spellEnd"/>
            <w:r w:rsidR="0059693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96933">
              <w:rPr>
                <w:color w:val="000000" w:themeColor="text1"/>
                <w:sz w:val="20"/>
                <w:szCs w:val="20"/>
              </w:rPr>
              <w:t>Koordinatörü</w:t>
            </w:r>
            <w:proofErr w:type="spellEnd"/>
          </w:p>
          <w:p w14:paraId="5C110F97" w14:textId="526A4474" w:rsidR="00E515F4" w:rsidRPr="0013451B" w:rsidRDefault="00E515F4" w:rsidP="007873B1">
            <w:pPr>
              <w:pStyle w:val="TableParagraph"/>
              <w:spacing w:before="123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3A90D1F" w14:textId="77777777" w:rsidR="007873B1" w:rsidRDefault="007873B1" w:rsidP="007873B1">
      <w:pPr>
        <w:jc w:val="both"/>
      </w:pPr>
    </w:p>
    <w:p w14:paraId="67693EB1" w14:textId="7B882CBD" w:rsidR="007873B1" w:rsidRDefault="007873B1" w:rsidP="00C258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  <w:r w:rsidRPr="007873B1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BİLİMSEL YAYIN VE DERGİLER KOORDİNATÖRLÜĞÜ</w:t>
      </w:r>
    </w:p>
    <w:p w14:paraId="0E62EF7D" w14:textId="1F9A26A9" w:rsidR="000C58F4" w:rsidRPr="000C58F4" w:rsidRDefault="000C58F4" w:rsidP="009429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0C58F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Planlama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: Çanakkale </w:t>
      </w:r>
      <w:proofErr w:type="spellStart"/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Onsekiz</w:t>
      </w:r>
      <w:proofErr w:type="spellEnd"/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Mart Üniversitesi</w:t>
      </w:r>
      <w:r w:rsidR="00547F34" w:rsidRPr="00547F34">
        <w:t xml:space="preserve"> </w:t>
      </w:r>
      <w:r w:rsidR="00547F34" w:rsidRP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Bilimsel Yayın </w:t>
      </w:r>
      <w:r w:rsid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v</w:t>
      </w:r>
      <w:r w:rsidR="00547F34" w:rsidRP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e Dergiler Koordinatörlüğü</w:t>
      </w:r>
      <w:r w:rsidR="00547F34"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toplumsal katkı süreçlerine yönelik ana planlam</w:t>
      </w:r>
      <w:r w:rsid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a misyon, vizyon ve temel değerler, amaç ve hedefler,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yönerge 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temel alınarak yapılmaktadır. İç ve dış paydaşlardan alınan geri bildirimler, planlama aşamasında dikkate alınmaktadır. </w:t>
      </w:r>
    </w:p>
    <w:p w14:paraId="088A14A4" w14:textId="53C0107C" w:rsidR="000C58F4" w:rsidRPr="000C58F4" w:rsidRDefault="000C58F4" w:rsidP="009429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547F3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Uygulama: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Koordinatörlüğümüz ve üniversitemiz bilimsel yayın ve dergiler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ile ilgili birimler tarafından uygulanmaktadır. Bu planlar, sürdürülebilirlik temelinde; eğitim-öğretim, araştırma-geliştirme, çevre, sağlık vb. alanlar ile kadınlar, yaşlılar, gençler, çocuklar gibi toplumun çeşitli kesimlerine yönelik olarak kurgulanmakta ve uygulanmaktadır. </w:t>
      </w:r>
    </w:p>
    <w:p w14:paraId="76C39FC1" w14:textId="770968D5" w:rsidR="000C58F4" w:rsidRPr="000C58F4" w:rsidRDefault="000C58F4" w:rsidP="009429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547F3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Kontrol Et: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</w:t>
      </w:r>
      <w:r w:rsid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Bilimsel Yayın ve Dergiler Koordinatörlüğü 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tarafından gerçekleştirilen toplumsal katkı</w:t>
      </w:r>
      <w:r w:rsid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ve 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sosyal sorumluluk faaliyetleri ve süreçleri, amaca uygunluk ve toplumsal katkı açısından değerlendirilmekte ve izlenmektedir. Toplumsal katkı süreçlerine ilişkin kontrol; Faaliyet Raporları aracılığıyla gerçekleştirilmektedir. Süreçte Enstitü, Fakülte, Yüksekokul ve Meslek Yüksekokulunun yanı sıra Sosyal Sorumluluk Proje Koordinatörlüğü</w:t>
      </w:r>
      <w:r w:rsid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ve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Sürdürülebilirlik Ofisi Koordinatörlüğü etkin rol üstlenmektedir. İlgili izleme mekanizmaları, sonuçları iyileştirmeler için yol göstermektedir. </w:t>
      </w:r>
    </w:p>
    <w:p w14:paraId="7222CFBA" w14:textId="76FE8802" w:rsidR="000C58F4" w:rsidRDefault="000C58F4" w:rsidP="009429C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  <w:r w:rsidRPr="00547F34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  <w:t>Önlem Al: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 xml:space="preserve"> Gerçekleştirilen değerlendirme ve izleme sonuçları, </w:t>
      </w:r>
      <w:r w:rsidR="00547F3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üniversitemiz dergi editörleri, akademik birim temsilciler ve ü</w:t>
      </w:r>
      <w:r w:rsidRPr="000C58F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  <w:t>niversite üst yönetimine ilgili toplantılarda sunularak gerekli iyileştirmelerin yapılması sağlanmaktadır.</w:t>
      </w:r>
    </w:p>
    <w:p w14:paraId="09D07A32" w14:textId="77777777" w:rsidR="009429C7" w:rsidRDefault="009429C7" w:rsidP="000C58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</w:p>
    <w:p w14:paraId="13F92DF8" w14:textId="77777777" w:rsidR="009429C7" w:rsidRPr="007873B1" w:rsidRDefault="009429C7" w:rsidP="000C58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tr-TR"/>
          <w14:ligatures w14:val="none"/>
        </w:rPr>
      </w:pPr>
    </w:p>
    <w:p w14:paraId="367E6256" w14:textId="77777777" w:rsidR="000C58F4" w:rsidRDefault="000C58F4" w:rsidP="009C3716">
      <w:pPr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tr-TR"/>
          <w14:ligatures w14:val="none"/>
        </w:rPr>
      </w:pPr>
    </w:p>
    <w:p w14:paraId="43D068D9" w14:textId="4C035270" w:rsidR="009C3716" w:rsidRPr="003C4474" w:rsidRDefault="009C3716" w:rsidP="009C3716">
      <w:pPr>
        <w:ind w:left="360"/>
        <w:jc w:val="center"/>
        <w:rPr>
          <w:rFonts w:ascii="Times" w:hAnsi="Times"/>
          <w:b/>
          <w:color w:val="000000" w:themeColor="text1"/>
        </w:rPr>
      </w:pPr>
      <w:r w:rsidRPr="003C4474">
        <w:rPr>
          <w:rFonts w:ascii="Times" w:hAnsi="Times"/>
          <w:b/>
          <w:color w:val="000000" w:themeColor="text1"/>
        </w:rPr>
        <w:t>ONAYLAYAN</w:t>
      </w:r>
    </w:p>
    <w:p w14:paraId="2D533057" w14:textId="77777777" w:rsidR="009C3716" w:rsidRPr="003C4474" w:rsidRDefault="009C3716" w:rsidP="009C3716">
      <w:pPr>
        <w:ind w:left="360"/>
        <w:jc w:val="center"/>
        <w:rPr>
          <w:rFonts w:ascii="Times" w:hAnsi="Times"/>
          <w:color w:val="000000" w:themeColor="text1"/>
        </w:rPr>
      </w:pPr>
    </w:p>
    <w:p w14:paraId="6B723579" w14:textId="77777777" w:rsidR="009C3716" w:rsidRPr="003C4474" w:rsidRDefault="009C3716" w:rsidP="009C3716">
      <w:pPr>
        <w:ind w:left="360"/>
        <w:jc w:val="center"/>
        <w:rPr>
          <w:rFonts w:ascii="Times" w:hAnsi="Times"/>
          <w:b/>
          <w:i/>
          <w:color w:val="000000" w:themeColor="text1"/>
        </w:rPr>
      </w:pPr>
      <w:r w:rsidRPr="003C4474">
        <w:rPr>
          <w:rFonts w:ascii="Times" w:hAnsi="Times"/>
          <w:color w:val="000000" w:themeColor="text1"/>
        </w:rPr>
        <w:t>Koordinatör</w:t>
      </w:r>
    </w:p>
    <w:p w14:paraId="483BC744" w14:textId="77777777" w:rsidR="007873B1" w:rsidRDefault="007873B1" w:rsidP="007873B1">
      <w:pPr>
        <w:jc w:val="both"/>
      </w:pPr>
    </w:p>
    <w:sectPr w:rsidR="00787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803FE"/>
    <w:multiLevelType w:val="multilevel"/>
    <w:tmpl w:val="C23A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71C48"/>
    <w:multiLevelType w:val="multilevel"/>
    <w:tmpl w:val="843C89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5368">
    <w:abstractNumId w:val="0"/>
  </w:num>
  <w:num w:numId="2" w16cid:durableId="95710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B1"/>
    <w:rsid w:val="00074C76"/>
    <w:rsid w:val="000C58F4"/>
    <w:rsid w:val="00121596"/>
    <w:rsid w:val="0016771B"/>
    <w:rsid w:val="00547F34"/>
    <w:rsid w:val="00596933"/>
    <w:rsid w:val="00607AD4"/>
    <w:rsid w:val="006C208F"/>
    <w:rsid w:val="007873B1"/>
    <w:rsid w:val="009429C7"/>
    <w:rsid w:val="009C3716"/>
    <w:rsid w:val="00A03710"/>
    <w:rsid w:val="00A834B7"/>
    <w:rsid w:val="00C25853"/>
    <w:rsid w:val="00CC6306"/>
    <w:rsid w:val="00D54B85"/>
    <w:rsid w:val="00D85492"/>
    <w:rsid w:val="00DB04A5"/>
    <w:rsid w:val="00E515F4"/>
    <w:rsid w:val="00EA6A72"/>
    <w:rsid w:val="00F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8854"/>
  <w15:chartTrackingRefBased/>
  <w15:docId w15:val="{068A7BAA-4556-C84B-97F8-753490A4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3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3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73B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73B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Gl">
    <w:name w:val="Strong"/>
    <w:basedOn w:val="VarsaylanParagrafYazTipi"/>
    <w:uiPriority w:val="22"/>
    <w:qFormat/>
    <w:rsid w:val="007873B1"/>
    <w:rPr>
      <w:b/>
      <w:bCs/>
    </w:rPr>
  </w:style>
  <w:style w:type="character" w:customStyle="1" w:styleId="apple-converted-space">
    <w:name w:val="apple-converted-space"/>
    <w:basedOn w:val="VarsaylanParagrafYazTipi"/>
    <w:rsid w:val="00787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HANDENUR SUNAL</cp:lastModifiedBy>
  <cp:revision>15</cp:revision>
  <dcterms:created xsi:type="dcterms:W3CDTF">2024-06-26T12:23:00Z</dcterms:created>
  <dcterms:modified xsi:type="dcterms:W3CDTF">2024-07-01T12:10:00Z</dcterms:modified>
</cp:coreProperties>
</file>