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7B3" w:rsidRDefault="004777B3" w:rsidP="004777B3">
      <w:pPr>
        <w:pStyle w:val="Default"/>
      </w:pPr>
    </w:p>
    <w:p w:rsidR="004777B3" w:rsidRDefault="004777B3" w:rsidP="004777B3">
      <w:pPr>
        <w:pStyle w:val="Default"/>
        <w:jc w:val="center"/>
        <w:rPr>
          <w:sz w:val="23"/>
          <w:szCs w:val="23"/>
        </w:rPr>
      </w:pPr>
      <w:r>
        <w:rPr>
          <w:b/>
          <w:bCs/>
          <w:sz w:val="23"/>
          <w:szCs w:val="23"/>
        </w:rPr>
        <w:t>T.C.</w:t>
      </w:r>
    </w:p>
    <w:p w:rsidR="004777B3" w:rsidRDefault="004777B3" w:rsidP="004777B3">
      <w:pPr>
        <w:pStyle w:val="Default"/>
        <w:jc w:val="center"/>
        <w:rPr>
          <w:sz w:val="23"/>
          <w:szCs w:val="23"/>
        </w:rPr>
      </w:pPr>
      <w:r>
        <w:rPr>
          <w:b/>
          <w:bCs/>
          <w:sz w:val="23"/>
          <w:szCs w:val="23"/>
        </w:rPr>
        <w:t>ÇANAKKALE ONSEKİZ MART ÜNİVERSİTESİ</w:t>
      </w:r>
    </w:p>
    <w:p w:rsidR="004777B3" w:rsidRDefault="004777B3" w:rsidP="004777B3">
      <w:pPr>
        <w:pStyle w:val="Default"/>
        <w:jc w:val="center"/>
        <w:rPr>
          <w:sz w:val="23"/>
          <w:szCs w:val="23"/>
        </w:rPr>
      </w:pPr>
      <w:r>
        <w:rPr>
          <w:b/>
          <w:bCs/>
          <w:sz w:val="23"/>
          <w:szCs w:val="23"/>
        </w:rPr>
        <w:t>MÜHENDİSLİK FAKÜLTESİ</w:t>
      </w:r>
    </w:p>
    <w:p w:rsidR="004777B3" w:rsidRDefault="004777B3" w:rsidP="004777B3">
      <w:pPr>
        <w:pStyle w:val="Default"/>
        <w:jc w:val="center"/>
        <w:rPr>
          <w:sz w:val="23"/>
          <w:szCs w:val="23"/>
        </w:rPr>
      </w:pPr>
      <w:r>
        <w:rPr>
          <w:b/>
          <w:bCs/>
          <w:sz w:val="23"/>
          <w:szCs w:val="23"/>
        </w:rPr>
        <w:t>BAYRAMİÇ MESLEK YÜKSEKOKULU</w:t>
      </w:r>
    </w:p>
    <w:p w:rsidR="004777B3" w:rsidRDefault="004777B3" w:rsidP="004777B3">
      <w:pPr>
        <w:pStyle w:val="Default"/>
        <w:jc w:val="center"/>
        <w:rPr>
          <w:b/>
          <w:bCs/>
          <w:sz w:val="23"/>
          <w:szCs w:val="23"/>
        </w:rPr>
      </w:pPr>
      <w:r>
        <w:rPr>
          <w:b/>
          <w:bCs/>
          <w:sz w:val="23"/>
          <w:szCs w:val="23"/>
        </w:rPr>
        <w:t xml:space="preserve">ÖĞRENCİ </w:t>
      </w:r>
      <w:r>
        <w:rPr>
          <w:b/>
          <w:bCs/>
          <w:sz w:val="23"/>
          <w:szCs w:val="23"/>
        </w:rPr>
        <w:t xml:space="preserve">AKADEMİK DANIŞMANLIK KOMİSYONU </w:t>
      </w:r>
    </w:p>
    <w:p w:rsidR="004777B3" w:rsidRDefault="004777B3" w:rsidP="004777B3">
      <w:pPr>
        <w:pStyle w:val="Default"/>
        <w:jc w:val="center"/>
        <w:rPr>
          <w:sz w:val="23"/>
          <w:szCs w:val="23"/>
        </w:rPr>
      </w:pPr>
      <w:r>
        <w:rPr>
          <w:b/>
          <w:bCs/>
          <w:sz w:val="23"/>
          <w:szCs w:val="23"/>
        </w:rPr>
        <w:t>TOPLANTI TUTANAĞI</w:t>
      </w:r>
    </w:p>
    <w:p w:rsidR="004777B3" w:rsidRDefault="004777B3" w:rsidP="004777B3">
      <w:pPr>
        <w:pStyle w:val="Default"/>
        <w:rPr>
          <w:b/>
          <w:bCs/>
          <w:sz w:val="23"/>
          <w:szCs w:val="23"/>
        </w:rPr>
      </w:pPr>
    </w:p>
    <w:p w:rsidR="004777B3" w:rsidRDefault="004777B3" w:rsidP="004777B3">
      <w:pPr>
        <w:pStyle w:val="Default"/>
        <w:rPr>
          <w:b/>
          <w:bCs/>
          <w:sz w:val="23"/>
          <w:szCs w:val="23"/>
        </w:rPr>
      </w:pPr>
    </w:p>
    <w:p w:rsidR="004777B3" w:rsidRDefault="004777B3" w:rsidP="004777B3">
      <w:pPr>
        <w:pStyle w:val="Default"/>
        <w:rPr>
          <w:sz w:val="23"/>
          <w:szCs w:val="23"/>
        </w:rPr>
      </w:pPr>
      <w:r>
        <w:rPr>
          <w:b/>
          <w:bCs/>
          <w:sz w:val="23"/>
          <w:szCs w:val="23"/>
        </w:rPr>
        <w:t xml:space="preserve">Toplantı No: 2025/01 </w:t>
      </w:r>
    </w:p>
    <w:p w:rsidR="004777B3" w:rsidRDefault="004777B3" w:rsidP="004777B3">
      <w:pPr>
        <w:pStyle w:val="Default"/>
        <w:rPr>
          <w:sz w:val="23"/>
          <w:szCs w:val="23"/>
        </w:rPr>
      </w:pPr>
      <w:r>
        <w:rPr>
          <w:b/>
          <w:bCs/>
          <w:sz w:val="23"/>
          <w:szCs w:val="23"/>
        </w:rPr>
        <w:t xml:space="preserve">Toplantı Tarihi: </w:t>
      </w:r>
      <w:r>
        <w:rPr>
          <w:sz w:val="23"/>
          <w:szCs w:val="23"/>
        </w:rPr>
        <w:t>20</w:t>
      </w:r>
      <w:r>
        <w:rPr>
          <w:sz w:val="23"/>
          <w:szCs w:val="23"/>
        </w:rPr>
        <w:t>.0</w:t>
      </w:r>
      <w:r>
        <w:rPr>
          <w:sz w:val="23"/>
          <w:szCs w:val="23"/>
        </w:rPr>
        <w:t>2</w:t>
      </w:r>
      <w:r>
        <w:rPr>
          <w:sz w:val="23"/>
          <w:szCs w:val="23"/>
        </w:rPr>
        <w:t xml:space="preserve">.2025 </w:t>
      </w:r>
    </w:p>
    <w:p w:rsidR="004777B3" w:rsidRDefault="004777B3" w:rsidP="004777B3">
      <w:pPr>
        <w:pStyle w:val="Default"/>
        <w:rPr>
          <w:sz w:val="23"/>
          <w:szCs w:val="23"/>
        </w:rPr>
      </w:pPr>
      <w:r>
        <w:rPr>
          <w:b/>
          <w:bCs/>
          <w:sz w:val="23"/>
          <w:szCs w:val="23"/>
        </w:rPr>
        <w:t xml:space="preserve">Toplantı Saati: </w:t>
      </w:r>
      <w:r>
        <w:rPr>
          <w:sz w:val="23"/>
          <w:szCs w:val="23"/>
        </w:rPr>
        <w:t>1</w:t>
      </w:r>
      <w:r>
        <w:rPr>
          <w:sz w:val="23"/>
          <w:szCs w:val="23"/>
        </w:rPr>
        <w:t>4</w:t>
      </w:r>
      <w:r>
        <w:rPr>
          <w:sz w:val="23"/>
          <w:szCs w:val="23"/>
        </w:rPr>
        <w:t xml:space="preserve">:00 </w:t>
      </w:r>
    </w:p>
    <w:p w:rsidR="004777B3" w:rsidRDefault="004777B3" w:rsidP="004777B3">
      <w:pPr>
        <w:pStyle w:val="Default"/>
        <w:rPr>
          <w:b/>
          <w:bCs/>
          <w:sz w:val="23"/>
          <w:szCs w:val="23"/>
        </w:rPr>
      </w:pPr>
    </w:p>
    <w:p w:rsidR="004777B3" w:rsidRDefault="004777B3" w:rsidP="004777B3">
      <w:pPr>
        <w:pStyle w:val="Default"/>
        <w:rPr>
          <w:b/>
          <w:bCs/>
          <w:sz w:val="23"/>
          <w:szCs w:val="23"/>
        </w:rPr>
      </w:pPr>
      <w:bookmarkStart w:id="0" w:name="_GoBack"/>
      <w:bookmarkEnd w:id="0"/>
    </w:p>
    <w:p w:rsidR="004777B3" w:rsidRDefault="004777B3" w:rsidP="004777B3">
      <w:pPr>
        <w:pStyle w:val="Default"/>
        <w:rPr>
          <w:sz w:val="23"/>
          <w:szCs w:val="23"/>
        </w:rPr>
      </w:pPr>
      <w:r>
        <w:rPr>
          <w:b/>
          <w:bCs/>
          <w:sz w:val="23"/>
          <w:szCs w:val="23"/>
        </w:rPr>
        <w:t xml:space="preserve">Toplantıda Görüşülen Gündem Maddeleri: </w:t>
      </w:r>
    </w:p>
    <w:p w:rsidR="004777B3" w:rsidRDefault="004777B3" w:rsidP="004777B3">
      <w:pPr>
        <w:pStyle w:val="Default"/>
        <w:numPr>
          <w:ilvl w:val="0"/>
          <w:numId w:val="1"/>
        </w:numPr>
        <w:spacing w:after="71"/>
        <w:ind w:left="360" w:hanging="360"/>
        <w:rPr>
          <w:sz w:val="23"/>
          <w:szCs w:val="23"/>
        </w:rPr>
      </w:pPr>
      <w:r>
        <w:rPr>
          <w:sz w:val="23"/>
          <w:szCs w:val="23"/>
        </w:rPr>
        <w:t xml:space="preserve">2024 Yılı Akademik Danışman Değerlendirme Anketi sonuçlarının incelenmesi </w:t>
      </w:r>
    </w:p>
    <w:p w:rsidR="004777B3" w:rsidRDefault="004777B3" w:rsidP="004777B3">
      <w:pPr>
        <w:pStyle w:val="Default"/>
        <w:numPr>
          <w:ilvl w:val="0"/>
          <w:numId w:val="1"/>
        </w:numPr>
        <w:spacing w:after="71"/>
        <w:ind w:left="360" w:hanging="360"/>
        <w:rPr>
          <w:sz w:val="23"/>
          <w:szCs w:val="23"/>
        </w:rPr>
      </w:pPr>
      <w:r>
        <w:rPr>
          <w:sz w:val="23"/>
          <w:szCs w:val="23"/>
        </w:rPr>
        <w:t>Okulumuzun</w:t>
      </w:r>
      <w:r>
        <w:rPr>
          <w:sz w:val="23"/>
          <w:szCs w:val="23"/>
        </w:rPr>
        <w:t xml:space="preserve">, üniversite genelindeki anket sonuçları içindeki konumunun değerlendirilmesi </w:t>
      </w:r>
    </w:p>
    <w:p w:rsidR="004777B3" w:rsidRDefault="004777B3" w:rsidP="004777B3">
      <w:pPr>
        <w:pStyle w:val="Default"/>
        <w:numPr>
          <w:ilvl w:val="0"/>
          <w:numId w:val="1"/>
        </w:numPr>
        <w:spacing w:after="71"/>
        <w:ind w:left="360" w:hanging="360"/>
        <w:rPr>
          <w:sz w:val="23"/>
          <w:szCs w:val="23"/>
        </w:rPr>
      </w:pPr>
      <w:r>
        <w:rPr>
          <w:sz w:val="23"/>
          <w:szCs w:val="23"/>
        </w:rPr>
        <w:t xml:space="preserve">Öğrenci memnuniyetinin artırılmasına yönelik önerilerin görüşülmesi </w:t>
      </w:r>
    </w:p>
    <w:p w:rsidR="004777B3" w:rsidRDefault="004777B3" w:rsidP="004777B3">
      <w:pPr>
        <w:pStyle w:val="Default"/>
        <w:numPr>
          <w:ilvl w:val="0"/>
          <w:numId w:val="1"/>
        </w:numPr>
        <w:ind w:left="360" w:hanging="360"/>
        <w:rPr>
          <w:sz w:val="23"/>
          <w:szCs w:val="23"/>
        </w:rPr>
      </w:pPr>
      <w:r>
        <w:rPr>
          <w:sz w:val="23"/>
          <w:szCs w:val="23"/>
        </w:rPr>
        <w:t xml:space="preserve">2025–2026 Eğitim-Öğretim Yılı Güz döneminde bölümümüze kayıt yaptıracak öğrenciler için danışman öğretim elemanlarının belirlenmesi </w:t>
      </w:r>
    </w:p>
    <w:p w:rsidR="004777B3" w:rsidRDefault="004777B3" w:rsidP="004777B3">
      <w:pPr>
        <w:pStyle w:val="Default"/>
        <w:rPr>
          <w:sz w:val="23"/>
          <w:szCs w:val="23"/>
        </w:rPr>
      </w:pPr>
    </w:p>
    <w:p w:rsidR="004777B3" w:rsidRDefault="004777B3" w:rsidP="004777B3">
      <w:pPr>
        <w:pStyle w:val="Default"/>
        <w:rPr>
          <w:sz w:val="23"/>
          <w:szCs w:val="23"/>
        </w:rPr>
      </w:pPr>
      <w:r>
        <w:rPr>
          <w:b/>
          <w:bCs/>
          <w:sz w:val="23"/>
          <w:szCs w:val="23"/>
        </w:rPr>
        <w:t xml:space="preserve">Toplantı Tutanağı </w:t>
      </w:r>
    </w:p>
    <w:p w:rsidR="004777B3" w:rsidRDefault="004777B3" w:rsidP="004777B3">
      <w:pPr>
        <w:pStyle w:val="Default"/>
        <w:numPr>
          <w:ilvl w:val="0"/>
          <w:numId w:val="2"/>
        </w:numPr>
        <w:spacing w:after="71"/>
        <w:ind w:left="360" w:hanging="360"/>
        <w:rPr>
          <w:sz w:val="23"/>
          <w:szCs w:val="23"/>
        </w:rPr>
      </w:pPr>
      <w:r>
        <w:rPr>
          <w:sz w:val="23"/>
          <w:szCs w:val="23"/>
        </w:rPr>
        <w:t xml:space="preserve">Akademik Danışman Değerlendirme Anketi sonuçlarının tüm üniversiteyi kapsaması nedeniyle, iyileştirilmesi gereken yönler genel veriler üzerinden değerlendirilmiştir. Bu yılki ankete ilişkin Bölümümüze ait verilerin ayrıca iletilmesi hâlinde, söz konusu verilerin ayrıca incelenmesine karar verilmiştir. Önümüzdeki yıldan itibaren </w:t>
      </w:r>
      <w:r>
        <w:rPr>
          <w:sz w:val="23"/>
          <w:szCs w:val="23"/>
        </w:rPr>
        <w:t>yüksekokulumuzun</w:t>
      </w:r>
      <w:r>
        <w:rPr>
          <w:sz w:val="23"/>
          <w:szCs w:val="23"/>
        </w:rPr>
        <w:t xml:space="preserve"> durumunun daha hızlı ve sağlıklı biçimde değerlendirilebilmesi amacıyla, öğrencilerimize benzer bir anket uygulanmasına karar verilmiştir. </w:t>
      </w:r>
    </w:p>
    <w:p w:rsidR="004777B3" w:rsidRDefault="004777B3" w:rsidP="004777B3">
      <w:pPr>
        <w:pStyle w:val="Default"/>
        <w:numPr>
          <w:ilvl w:val="0"/>
          <w:numId w:val="2"/>
        </w:numPr>
        <w:spacing w:after="71"/>
        <w:ind w:left="360" w:hanging="360"/>
        <w:rPr>
          <w:sz w:val="23"/>
          <w:szCs w:val="23"/>
        </w:rPr>
      </w:pPr>
      <w:r>
        <w:rPr>
          <w:sz w:val="23"/>
          <w:szCs w:val="23"/>
        </w:rPr>
        <w:t>Daha önce uygulandığı üzere, her dönem başında öğretim elemanlarının ders programlarının netleşmesinin ardından akademik danışmanların danışma gün ve saatlerinin belirlenmesi ve bu bilgilerin öğrencilere duyurulması</w:t>
      </w:r>
      <w:r>
        <w:rPr>
          <w:sz w:val="23"/>
          <w:szCs w:val="23"/>
        </w:rPr>
        <w:t xml:space="preserve"> (kapılara danışmanlık programının asılması)</w:t>
      </w:r>
      <w:r>
        <w:rPr>
          <w:sz w:val="23"/>
          <w:szCs w:val="23"/>
        </w:rPr>
        <w:t xml:space="preserve"> kararlaştırılmıştır. </w:t>
      </w:r>
    </w:p>
    <w:p w:rsidR="004777B3" w:rsidRDefault="004777B3" w:rsidP="004777B3">
      <w:pPr>
        <w:pStyle w:val="Default"/>
        <w:numPr>
          <w:ilvl w:val="0"/>
          <w:numId w:val="2"/>
        </w:numPr>
        <w:spacing w:after="71"/>
        <w:ind w:left="360" w:hanging="360"/>
        <w:rPr>
          <w:sz w:val="23"/>
          <w:szCs w:val="23"/>
        </w:rPr>
      </w:pPr>
      <w:r>
        <w:rPr>
          <w:sz w:val="23"/>
          <w:szCs w:val="23"/>
        </w:rPr>
        <w:t xml:space="preserve">Dönem başında yapılacak bilgilendirme toplantılarının çevrim içi olarak gerçekleştirilmesi ve kaydedilerek toplantıya katılamayan öğrencilerin daha sonra izleyebilmesine imkân sağlanmasına karar verilmiştir. </w:t>
      </w:r>
    </w:p>
    <w:p w:rsidR="004777B3" w:rsidRDefault="004777B3" w:rsidP="004777B3">
      <w:pPr>
        <w:pStyle w:val="Default"/>
        <w:numPr>
          <w:ilvl w:val="0"/>
          <w:numId w:val="2"/>
        </w:numPr>
        <w:ind w:left="360" w:hanging="360"/>
        <w:rPr>
          <w:sz w:val="23"/>
          <w:szCs w:val="23"/>
        </w:rPr>
      </w:pPr>
      <w:r>
        <w:rPr>
          <w:sz w:val="23"/>
          <w:szCs w:val="23"/>
        </w:rPr>
        <w:t xml:space="preserve">2025–2026 Eğitim-Öğretim Yılı Güz döneminde bölümümüze kayıt yaptıracak öğrenciler için danışmanlıkların nasıl belirleneceği hususu görüşülmüştür. Yeni kayıt yaptıran öğrencilerin danışmanlıklarının, mevcut danışmanlık yükü en az olan öğretim elemanlarına atanmasına karar verilmiştir. </w:t>
      </w:r>
    </w:p>
    <w:p w:rsidR="004777B3" w:rsidRDefault="004777B3" w:rsidP="004777B3">
      <w:pPr>
        <w:pStyle w:val="Default"/>
        <w:rPr>
          <w:sz w:val="23"/>
          <w:szCs w:val="23"/>
        </w:rPr>
      </w:pPr>
    </w:p>
    <w:p w:rsidR="004777B3" w:rsidRDefault="004777B3" w:rsidP="004777B3">
      <w:pPr>
        <w:pStyle w:val="Default"/>
        <w:rPr>
          <w:sz w:val="23"/>
          <w:szCs w:val="23"/>
        </w:rPr>
      </w:pPr>
    </w:p>
    <w:p w:rsidR="004777B3" w:rsidRDefault="004777B3" w:rsidP="004777B3">
      <w:pPr>
        <w:pStyle w:val="Default"/>
        <w:rPr>
          <w:sz w:val="23"/>
          <w:szCs w:val="23"/>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098"/>
        <w:gridCol w:w="2835"/>
      </w:tblGrid>
      <w:tr w:rsidR="004777B3" w:rsidTr="004777B3">
        <w:tblPrEx>
          <w:tblCellMar>
            <w:top w:w="0" w:type="dxa"/>
            <w:bottom w:w="0" w:type="dxa"/>
          </w:tblCellMar>
        </w:tblPrEx>
        <w:trPr>
          <w:trHeight w:val="109"/>
        </w:trPr>
        <w:tc>
          <w:tcPr>
            <w:tcW w:w="1242" w:type="dxa"/>
          </w:tcPr>
          <w:p w:rsidR="004777B3" w:rsidRDefault="004777B3">
            <w:pPr>
              <w:pStyle w:val="Default"/>
              <w:rPr>
                <w:sz w:val="23"/>
                <w:szCs w:val="23"/>
              </w:rPr>
            </w:pPr>
          </w:p>
        </w:tc>
        <w:tc>
          <w:tcPr>
            <w:tcW w:w="5098" w:type="dxa"/>
          </w:tcPr>
          <w:p w:rsidR="004777B3" w:rsidRDefault="004777B3">
            <w:pPr>
              <w:pStyle w:val="Default"/>
              <w:rPr>
                <w:sz w:val="23"/>
                <w:szCs w:val="23"/>
              </w:rPr>
            </w:pPr>
            <w:r>
              <w:rPr>
                <w:sz w:val="23"/>
                <w:szCs w:val="23"/>
              </w:rPr>
              <w:t>KATILIMCI</w:t>
            </w:r>
          </w:p>
        </w:tc>
        <w:tc>
          <w:tcPr>
            <w:tcW w:w="2835" w:type="dxa"/>
          </w:tcPr>
          <w:p w:rsidR="004777B3" w:rsidRDefault="004777B3">
            <w:pPr>
              <w:pStyle w:val="Default"/>
              <w:rPr>
                <w:sz w:val="23"/>
                <w:szCs w:val="23"/>
              </w:rPr>
            </w:pPr>
            <w:r>
              <w:rPr>
                <w:sz w:val="23"/>
                <w:szCs w:val="23"/>
              </w:rPr>
              <w:t xml:space="preserve">KATILMA DURUMU </w:t>
            </w:r>
          </w:p>
        </w:tc>
      </w:tr>
      <w:tr w:rsidR="004777B3" w:rsidTr="004777B3">
        <w:tblPrEx>
          <w:tblCellMar>
            <w:top w:w="0" w:type="dxa"/>
            <w:bottom w:w="0" w:type="dxa"/>
          </w:tblCellMar>
        </w:tblPrEx>
        <w:trPr>
          <w:trHeight w:val="109"/>
        </w:trPr>
        <w:tc>
          <w:tcPr>
            <w:tcW w:w="1242" w:type="dxa"/>
          </w:tcPr>
          <w:p w:rsidR="004777B3" w:rsidRDefault="004777B3">
            <w:pPr>
              <w:pStyle w:val="Default"/>
              <w:rPr>
                <w:sz w:val="23"/>
                <w:szCs w:val="23"/>
              </w:rPr>
            </w:pPr>
            <w:r>
              <w:rPr>
                <w:sz w:val="23"/>
                <w:szCs w:val="23"/>
              </w:rPr>
              <w:t>Üye</w:t>
            </w:r>
          </w:p>
        </w:tc>
        <w:tc>
          <w:tcPr>
            <w:tcW w:w="5098" w:type="dxa"/>
          </w:tcPr>
          <w:p w:rsidR="004777B3" w:rsidRDefault="004777B3">
            <w:pPr>
              <w:pStyle w:val="Default"/>
              <w:rPr>
                <w:sz w:val="23"/>
                <w:szCs w:val="23"/>
              </w:rPr>
            </w:pPr>
            <w:proofErr w:type="spellStart"/>
            <w:proofErr w:type="gramStart"/>
            <w:r>
              <w:rPr>
                <w:sz w:val="23"/>
                <w:szCs w:val="23"/>
              </w:rPr>
              <w:t>Öğr.Gör</w:t>
            </w:r>
            <w:proofErr w:type="spellEnd"/>
            <w:proofErr w:type="gramEnd"/>
            <w:r>
              <w:rPr>
                <w:sz w:val="23"/>
                <w:szCs w:val="23"/>
              </w:rPr>
              <w:t xml:space="preserve">. Dr. </w:t>
            </w:r>
            <w:proofErr w:type="spellStart"/>
            <w:r>
              <w:rPr>
                <w:sz w:val="23"/>
                <w:szCs w:val="23"/>
              </w:rPr>
              <w:t>H.Osman</w:t>
            </w:r>
            <w:proofErr w:type="spellEnd"/>
            <w:r>
              <w:rPr>
                <w:sz w:val="23"/>
                <w:szCs w:val="23"/>
              </w:rPr>
              <w:t xml:space="preserve"> MESTAV</w:t>
            </w:r>
          </w:p>
        </w:tc>
        <w:tc>
          <w:tcPr>
            <w:tcW w:w="2835" w:type="dxa"/>
          </w:tcPr>
          <w:p w:rsidR="004777B3" w:rsidRDefault="004777B3">
            <w:pPr>
              <w:pStyle w:val="Default"/>
              <w:rPr>
                <w:sz w:val="23"/>
                <w:szCs w:val="23"/>
              </w:rPr>
            </w:pPr>
            <w:r>
              <w:rPr>
                <w:sz w:val="23"/>
                <w:szCs w:val="23"/>
              </w:rPr>
              <w:t xml:space="preserve">Katıldı </w:t>
            </w:r>
          </w:p>
        </w:tc>
      </w:tr>
      <w:tr w:rsidR="004777B3" w:rsidTr="004777B3">
        <w:tblPrEx>
          <w:tblCellMar>
            <w:top w:w="0" w:type="dxa"/>
            <w:bottom w:w="0" w:type="dxa"/>
          </w:tblCellMar>
        </w:tblPrEx>
        <w:trPr>
          <w:trHeight w:val="109"/>
        </w:trPr>
        <w:tc>
          <w:tcPr>
            <w:tcW w:w="1242" w:type="dxa"/>
          </w:tcPr>
          <w:p w:rsidR="004777B3" w:rsidRDefault="004777B3">
            <w:pPr>
              <w:pStyle w:val="Default"/>
              <w:rPr>
                <w:sz w:val="23"/>
                <w:szCs w:val="23"/>
              </w:rPr>
            </w:pPr>
            <w:r>
              <w:rPr>
                <w:sz w:val="23"/>
                <w:szCs w:val="23"/>
              </w:rPr>
              <w:t xml:space="preserve">Üye </w:t>
            </w:r>
          </w:p>
        </w:tc>
        <w:tc>
          <w:tcPr>
            <w:tcW w:w="5098" w:type="dxa"/>
          </w:tcPr>
          <w:p w:rsidR="004777B3" w:rsidRDefault="004777B3">
            <w:pPr>
              <w:pStyle w:val="Default"/>
              <w:rPr>
                <w:sz w:val="23"/>
                <w:szCs w:val="23"/>
              </w:rPr>
            </w:pPr>
            <w:proofErr w:type="spellStart"/>
            <w:proofErr w:type="gramStart"/>
            <w:r>
              <w:rPr>
                <w:sz w:val="23"/>
                <w:szCs w:val="23"/>
              </w:rPr>
              <w:t>Öğr.Gör</w:t>
            </w:r>
            <w:proofErr w:type="spellEnd"/>
            <w:proofErr w:type="gramEnd"/>
            <w:r>
              <w:rPr>
                <w:sz w:val="23"/>
                <w:szCs w:val="23"/>
              </w:rPr>
              <w:t>. Dr.</w:t>
            </w:r>
            <w:r>
              <w:rPr>
                <w:sz w:val="23"/>
                <w:szCs w:val="23"/>
              </w:rPr>
              <w:t xml:space="preserve"> Pervin VURAL BİLGEN</w:t>
            </w:r>
          </w:p>
        </w:tc>
        <w:tc>
          <w:tcPr>
            <w:tcW w:w="2835" w:type="dxa"/>
          </w:tcPr>
          <w:p w:rsidR="004777B3" w:rsidRDefault="004777B3">
            <w:pPr>
              <w:pStyle w:val="Default"/>
              <w:rPr>
                <w:sz w:val="23"/>
                <w:szCs w:val="23"/>
              </w:rPr>
            </w:pPr>
            <w:r>
              <w:rPr>
                <w:sz w:val="23"/>
                <w:szCs w:val="23"/>
              </w:rPr>
              <w:t xml:space="preserve">Katıldı </w:t>
            </w:r>
          </w:p>
        </w:tc>
      </w:tr>
      <w:tr w:rsidR="004777B3" w:rsidTr="004777B3">
        <w:tblPrEx>
          <w:tblCellMar>
            <w:top w:w="0" w:type="dxa"/>
            <w:bottom w:w="0" w:type="dxa"/>
          </w:tblCellMar>
        </w:tblPrEx>
        <w:trPr>
          <w:trHeight w:val="109"/>
        </w:trPr>
        <w:tc>
          <w:tcPr>
            <w:tcW w:w="1242" w:type="dxa"/>
          </w:tcPr>
          <w:p w:rsidR="004777B3" w:rsidRDefault="004777B3">
            <w:pPr>
              <w:pStyle w:val="Default"/>
              <w:rPr>
                <w:sz w:val="23"/>
                <w:szCs w:val="23"/>
              </w:rPr>
            </w:pPr>
            <w:r>
              <w:rPr>
                <w:sz w:val="23"/>
                <w:szCs w:val="23"/>
              </w:rPr>
              <w:t xml:space="preserve">Üye </w:t>
            </w:r>
          </w:p>
        </w:tc>
        <w:tc>
          <w:tcPr>
            <w:tcW w:w="5098" w:type="dxa"/>
          </w:tcPr>
          <w:p w:rsidR="004777B3" w:rsidRDefault="004777B3">
            <w:pPr>
              <w:pStyle w:val="Default"/>
              <w:rPr>
                <w:sz w:val="23"/>
                <w:szCs w:val="23"/>
              </w:rPr>
            </w:pPr>
            <w:proofErr w:type="spellStart"/>
            <w:proofErr w:type="gramStart"/>
            <w:r>
              <w:rPr>
                <w:sz w:val="23"/>
                <w:szCs w:val="23"/>
              </w:rPr>
              <w:t>Öğr.Gör</w:t>
            </w:r>
            <w:proofErr w:type="spellEnd"/>
            <w:proofErr w:type="gramEnd"/>
            <w:r>
              <w:rPr>
                <w:sz w:val="23"/>
                <w:szCs w:val="23"/>
              </w:rPr>
              <w:t>. Fatma MUTLU</w:t>
            </w:r>
          </w:p>
        </w:tc>
        <w:tc>
          <w:tcPr>
            <w:tcW w:w="2835" w:type="dxa"/>
          </w:tcPr>
          <w:p w:rsidR="004777B3" w:rsidRDefault="004777B3">
            <w:pPr>
              <w:pStyle w:val="Default"/>
              <w:rPr>
                <w:sz w:val="23"/>
                <w:szCs w:val="23"/>
              </w:rPr>
            </w:pPr>
            <w:r>
              <w:rPr>
                <w:sz w:val="23"/>
                <w:szCs w:val="23"/>
              </w:rPr>
              <w:t xml:space="preserve">Katıldı </w:t>
            </w:r>
          </w:p>
        </w:tc>
      </w:tr>
    </w:tbl>
    <w:p w:rsidR="00F93E31" w:rsidRDefault="00F93E31"/>
    <w:sectPr w:rsidR="00F93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altName w:val="Times New Roman PSMT"/>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E96B71"/>
    <w:multiLevelType w:val="hybridMultilevel"/>
    <w:tmpl w:val="8E35C3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B02CE3"/>
    <w:multiLevelType w:val="hybridMultilevel"/>
    <w:tmpl w:val="088A28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7928FF"/>
    <w:multiLevelType w:val="hybridMultilevel"/>
    <w:tmpl w:val="DE8C645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B3"/>
    <w:rsid w:val="004777B3"/>
    <w:rsid w:val="006C25BD"/>
    <w:rsid w:val="00F93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9C50"/>
  <w15:chartTrackingRefBased/>
  <w15:docId w15:val="{731A0732-B759-437C-8A3A-4AACBE01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77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310</Words>
  <Characters>1767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2026-03-02T07:55:00Z</dcterms:created>
  <dcterms:modified xsi:type="dcterms:W3CDTF">2026-03-02T08:07:00Z</dcterms:modified>
</cp:coreProperties>
</file>