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88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EF0473" w:rsidTr="00554C79">
        <w:trPr>
          <w:trHeight w:val="14772"/>
        </w:trPr>
        <w:tc>
          <w:tcPr>
            <w:tcW w:w="9810" w:type="dxa"/>
          </w:tcPr>
          <w:p w:rsidR="00EF0473" w:rsidRDefault="00EF0473" w:rsidP="000D6265">
            <w:pPr>
              <w:jc w:val="center"/>
            </w:pPr>
          </w:p>
          <w:p w:rsidR="00EF0473" w:rsidRDefault="00575551" w:rsidP="001900C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:rsidR="00EF0473" w:rsidRDefault="00DC78EA" w:rsidP="001900C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ÇANAKKALE ON</w:t>
            </w:r>
            <w:r w:rsidR="00575551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EKİZ MART UNIVERSITY </w:t>
            </w:r>
            <w:r w:rsidR="00EF0473" w:rsidRPr="00141B76">
              <w:rPr>
                <w:b/>
                <w:bCs/>
              </w:rPr>
              <w:t>FACILITY</w:t>
            </w:r>
          </w:p>
          <w:p w:rsidR="00EF0473" w:rsidRDefault="00EF0473" w:rsidP="00190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REVOLVING CAPITAL MANAGEMENT DIRECTORATE</w:t>
            </w:r>
          </w:p>
          <w:p w:rsidR="00EF0473" w:rsidRPr="00F6313C" w:rsidRDefault="00575551" w:rsidP="001900C1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286.5pt;margin-top:392.2pt;width:31.5pt;height:10.45pt;flip:x;z-index:251659264" o:connectortype="straight">
                  <v:stroke endarrow="block"/>
                </v:shape>
              </w:pict>
            </w:r>
            <w:r>
              <w:rPr>
                <w:noProof/>
                <w:lang w:eastAsia="tr-TR"/>
              </w:rPr>
              <w:pict>
                <v:roundrect id="_x0000_s1032" style="position:absolute;left:0;text-align:left;margin-left:247.5pt;margin-top:233.9pt;width:228.5pt;height:156.8pt;z-index:251657216" arcsize="10923f">
                  <v:textbox style="mso-next-textbox:#_x0000_s1032">
                    <w:txbxContent>
                      <w:p w:rsidR="00EF0473" w:rsidRDefault="00575551" w:rsidP="00EF0473">
                        <w:pPr>
                          <w:jc w:val="center"/>
                        </w:pPr>
                        <w:r w:rsidRPr="00575551">
                          <w:t xml:space="preserve">If the project coordinator is not specified in the application letter of the person/institution requesting business/project/consulting services, the </w:t>
                        </w:r>
                        <w:proofErr w:type="gramStart"/>
                        <w:r w:rsidRPr="00575551">
                          <w:t>request letter is evaluated by the Academic Board of the Department</w:t>
                        </w:r>
                        <w:proofErr w:type="gramEnd"/>
                        <w:r w:rsidRPr="00575551">
                          <w:t xml:space="preserve"> and the project coordinator and team are determined. The project manager submits the application petition to the Head of Department.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tr-TR"/>
              </w:rPr>
              <w:pict>
                <v:shape id="_x0000_s1033" type="#_x0000_t32" style="position:absolute;left:0;text-align:left;margin-left:185.6pt;margin-top:368.95pt;width:48.4pt;height:33.7pt;z-index:251658240" o:connectortype="straight">
                  <v:stroke endarrow="block"/>
                </v:shape>
              </w:pict>
            </w:r>
            <w:r>
              <w:rPr>
                <w:noProof/>
                <w:u w:val="single"/>
                <w:lang w:eastAsia="tr-TR"/>
              </w:rPr>
              <w:pict>
                <v:roundrect id="_x0000_s1026" style="position:absolute;left:0;text-align:left;margin-left:5.5pt;margin-top:233.9pt;width:228.5pt;height:134.3pt;z-index:251651072" arcsize="10923f">
                  <v:textbox style="mso-next-textbox:#_x0000_s1026">
                    <w:txbxContent>
                      <w:p w:rsidR="00EF0473" w:rsidRDefault="00575551" w:rsidP="00EF0473">
                        <w:pPr>
                          <w:jc w:val="center"/>
                        </w:pPr>
                        <w:r w:rsidRPr="00575551">
                          <w:t xml:space="preserve">If the project coordinator </w:t>
                        </w:r>
                        <w:proofErr w:type="gramStart"/>
                        <w:r w:rsidRPr="00575551">
                          <w:t>is specified</w:t>
                        </w:r>
                        <w:proofErr w:type="gramEnd"/>
                        <w:r w:rsidRPr="00575551">
                          <w:t xml:space="preserve"> in the application letter of the person/institution requesting business/project/consulting services, the project coordinator submits the protocol and Project Information form he/she has prepared together with the application letter to the Department Head.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u w:val="single"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6" type="#_x0000_t67" style="position:absolute;left:0;text-align:left;margin-left:360.15pt;margin-top:628.45pt;width:21.1pt;height:26.25pt;z-index:251661312">
                  <v:textbox style="layout-flow:vertical-ideographic"/>
                </v:shape>
              </w:pict>
            </w:r>
            <w:r>
              <w:rPr>
                <w:noProof/>
                <w:u w:val="single"/>
                <w:lang w:eastAsia="tr-TR"/>
              </w:rPr>
              <w:pict>
                <v:roundrect id="_x0000_s1029" style="position:absolute;left:0;text-align:left;margin-left:121.5pt;margin-top:562.45pt;width:264pt;height:61.5pt;z-index:251654144" arcsize="10923f">
                  <v:textbox style="mso-next-textbox:#_x0000_s1029">
                    <w:txbxContent>
                      <w:p w:rsidR="00EF0473" w:rsidRDefault="00575551" w:rsidP="00575551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</w:pPr>
                        <w:r w:rsidRPr="00575551">
                          <w:t xml:space="preserve">• The officer who prepares the contributions for the approved cases informs the executive that the protocol </w:t>
                        </w:r>
                        <w:proofErr w:type="gramStart"/>
                        <w:r w:rsidRPr="00575551">
                          <w:t>has been approved</w:t>
                        </w:r>
                        <w:proofErr w:type="gramEnd"/>
                        <w:r w:rsidRPr="00575551">
                          <w:t>.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u w:val="single"/>
                <w:lang w:eastAsia="tr-TR"/>
              </w:rPr>
              <w:pict>
                <v:shape id="_x0000_s1035" type="#_x0000_t32" style="position:absolute;left:0;text-align:left;margin-left:247.5pt;margin-top:517.45pt;width:0;height:27.75pt;z-index:251660288" o:connectortype="straight">
                  <v:stroke endarrow="block"/>
                </v:shape>
              </w:pict>
            </w:r>
            <w:r>
              <w:rPr>
                <w:noProof/>
                <w:u w:val="single"/>
                <w:lang w:eastAsia="tr-TR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8" type="#_x0000_t176" style="position:absolute;left:0;text-align:left;margin-left:69.75pt;margin-top:407.15pt;width:385.5pt;height:99.75pt;z-index:251653120">
                  <v:textbox style="mso-next-textbox:#_x0000_s1028">
                    <w:txbxContent>
                      <w:p w:rsidR="00575551" w:rsidRDefault="00575551" w:rsidP="00575551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spacing w:before="240"/>
                        </w:pPr>
                        <w:r>
                          <w:t xml:space="preserve">• After the documents are prepared and the signatures are completed, a letter </w:t>
                        </w:r>
                        <w:proofErr w:type="gramStart"/>
                        <w:r>
                          <w:t>is written</w:t>
                        </w:r>
                        <w:proofErr w:type="gramEnd"/>
                        <w:r>
                          <w:t xml:space="preserve"> to the revolving fund with a cover letter.</w:t>
                        </w:r>
                      </w:p>
                      <w:p w:rsidR="00EF0473" w:rsidRDefault="00575551" w:rsidP="00575551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spacing w:before="240"/>
                        </w:pPr>
                        <w:r>
                          <w:t xml:space="preserve">• If approved by the Executive Board, it </w:t>
                        </w:r>
                        <w:proofErr w:type="gramStart"/>
                        <w:r>
                          <w:t>is submitted</w:t>
                        </w:r>
                        <w:proofErr w:type="gramEnd"/>
                        <w:r>
                          <w:t xml:space="preserve"> to the approval of the Revolving Fund Manager.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u w:val="single"/>
                <w:lang w:eastAsia="tr-TR"/>
              </w:rPr>
              <w:pict>
                <v:shape id="_x0000_s1031" type="#_x0000_t32" style="position:absolute;left:0;text-align:left;margin-left:292.5pt;margin-top:148.45pt;width:55.5pt;height:66.75pt;z-index:251656192" o:connectortype="straight">
                  <v:stroke endarrow="block"/>
                </v:shape>
              </w:pict>
            </w:r>
            <w:r>
              <w:rPr>
                <w:noProof/>
                <w:u w:val="single"/>
                <w:lang w:eastAsia="tr-TR"/>
              </w:rPr>
              <w:pict>
                <v:shape id="_x0000_s1027" type="#_x0000_t176" style="position:absolute;left:0;text-align:left;margin-left:102.75pt;margin-top:35.15pt;width:278.5pt;height:92.3pt;z-index:251652096">
                  <v:textbox style="mso-next-textbox:#_x0000_s1027">
                    <w:txbxContent>
                      <w:p w:rsidR="00EF0473" w:rsidRDefault="00575551" w:rsidP="00EF0473">
                        <w:pPr>
                          <w:spacing w:before="240"/>
                          <w:jc w:val="center"/>
                        </w:pPr>
                        <w:r w:rsidRPr="00575551">
                          <w:t xml:space="preserve">A request letter </w:t>
                        </w:r>
                        <w:proofErr w:type="gramStart"/>
                        <w:r w:rsidRPr="00575551">
                          <w:t>is written</w:t>
                        </w:r>
                        <w:proofErr w:type="gramEnd"/>
                        <w:r w:rsidRPr="00575551">
                          <w:t xml:space="preserve"> by the person/institution requesting business/project/consulting services to the relevant Faculty/School/Vocational School.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u w:val="single"/>
                <w:lang w:eastAsia="tr-TR"/>
              </w:rPr>
              <w:pict>
                <v:shape id="_x0000_s1030" type="#_x0000_t32" style="position:absolute;left:0;text-align:left;margin-left:121.5pt;margin-top:140.95pt;width:52.5pt;height:78pt;flip:x;z-index:251655168" o:connectortype="straight">
                  <v:stroke endarrow="block"/>
                </v:shape>
              </w:pict>
            </w:r>
            <w:r w:rsidR="00EF0473">
              <w:rPr>
                <w:b/>
                <w:bCs/>
                <w:u w:val="single"/>
              </w:rPr>
              <w:t>PROTOCOL/CONSULTING/COURSES WORK FLOW CHART</w:t>
            </w:r>
          </w:p>
        </w:tc>
      </w:tr>
      <w:tr w:rsidR="00EF0473" w:rsidRPr="00F6313C" w:rsidTr="00554C79">
        <w:trPr>
          <w:trHeight w:val="12918"/>
        </w:trPr>
        <w:tc>
          <w:tcPr>
            <w:tcW w:w="9810" w:type="dxa"/>
          </w:tcPr>
          <w:p w:rsidR="00EF0473" w:rsidRDefault="00EF0473" w:rsidP="000D6265">
            <w:pPr>
              <w:jc w:val="center"/>
            </w:pPr>
          </w:p>
          <w:p w:rsidR="00EF0473" w:rsidRPr="00F6313C" w:rsidRDefault="00575551" w:rsidP="000D6265">
            <w:pPr>
              <w:spacing w:line="240" w:lineRule="auto"/>
              <w:rPr>
                <w:b/>
                <w:bCs/>
                <w:u w:val="single"/>
              </w:rPr>
            </w:pPr>
            <w:bookmarkStart w:id="0" w:name="_GoBack"/>
            <w:bookmarkEnd w:id="0"/>
            <w:r>
              <w:rPr>
                <w:b/>
                <w:bCs/>
                <w:noProof/>
                <w:u w:val="single"/>
                <w:lang w:eastAsia="tr-TR"/>
              </w:rPr>
              <w:pict>
                <v:roundrect id="_x0000_s1038" style="position:absolute;margin-left:122.6pt;margin-top:236.95pt;width:260.25pt;height:142.5pt;z-index:251663360" arcsize="10923f">
                  <v:textbox>
                    <w:txbxContent>
                      <w:p w:rsidR="00575551" w:rsidRDefault="00575551" w:rsidP="00575551">
                        <w:pPr>
                          <w:pStyle w:val="ListeParagraf"/>
                          <w:numPr>
                            <w:ilvl w:val="0"/>
                            <w:numId w:val="4"/>
                          </w:numPr>
                          <w:spacing w:before="240"/>
                        </w:pPr>
                        <w:r>
                          <w:t xml:space="preserve">• Payment documents are prepared after the payrolls </w:t>
                        </w:r>
                        <w:proofErr w:type="gramStart"/>
                        <w:r>
                          <w:t>are received</w:t>
                        </w:r>
                        <w:proofErr w:type="gramEnd"/>
                        <w:r>
                          <w:t>.</w:t>
                        </w:r>
                      </w:p>
                      <w:p w:rsidR="00575551" w:rsidRDefault="00575551" w:rsidP="00575551">
                        <w:pPr>
                          <w:pStyle w:val="ListeParagraf"/>
                          <w:numPr>
                            <w:ilvl w:val="0"/>
                            <w:numId w:val="4"/>
                          </w:numPr>
                          <w:spacing w:before="240"/>
                        </w:pPr>
                        <w:r>
                          <w:t xml:space="preserve">• It </w:t>
                        </w:r>
                        <w:proofErr w:type="gramStart"/>
                        <w:r>
                          <w:t>is submitted</w:t>
                        </w:r>
                        <w:proofErr w:type="gramEnd"/>
                        <w:r>
                          <w:t xml:space="preserve"> for the approval of the realization officer and the spending authority.</w:t>
                        </w:r>
                      </w:p>
                      <w:p w:rsidR="00575551" w:rsidRDefault="00575551" w:rsidP="00575551">
                        <w:pPr>
                          <w:pStyle w:val="ListeParagraf"/>
                          <w:numPr>
                            <w:ilvl w:val="0"/>
                            <w:numId w:val="4"/>
                          </w:numPr>
                          <w:spacing w:before="240"/>
                        </w:pPr>
                        <w:r>
                          <w:t>• Approval procedures are completed</w:t>
                        </w:r>
                      </w:p>
                      <w:p w:rsidR="00EF0473" w:rsidRDefault="00575551" w:rsidP="00575551">
                        <w:pPr>
                          <w:pStyle w:val="ListeParagraf"/>
                          <w:numPr>
                            <w:ilvl w:val="0"/>
                            <w:numId w:val="4"/>
                          </w:numPr>
                          <w:spacing w:before="240"/>
                        </w:pPr>
                        <w:r>
                          <w:t xml:space="preserve">• It </w:t>
                        </w:r>
                        <w:proofErr w:type="gramStart"/>
                        <w:r>
                          <w:t>is sent</w:t>
                        </w:r>
                        <w:proofErr w:type="gramEnd"/>
                        <w:r>
                          <w:t xml:space="preserve"> to the accounting unit.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u w:val="single"/>
                <w:lang w:eastAsia="tr-TR"/>
              </w:rPr>
              <w:pict>
                <v:shape id="_x0000_s1039" type="#_x0000_t32" style="position:absolute;margin-left:257.25pt;margin-top:160.5pt;width:0;height:58.5pt;z-index:251664384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u w:val="single"/>
                <w:lang w:eastAsia="tr-TR"/>
              </w:rPr>
              <w:pict>
                <v:roundrect id="_x0000_s1037" style="position:absolute;margin-left:126.75pt;margin-top:21pt;width:263.25pt;height:116.25pt;z-index:251662336" arcsize="10923f">
                  <v:textbox>
                    <w:txbxContent>
                      <w:p w:rsidR="00EF0473" w:rsidRDefault="00575551" w:rsidP="00575551">
                        <w:pPr>
                          <w:pStyle w:val="ListeParagraf"/>
                          <w:numPr>
                            <w:ilvl w:val="0"/>
                            <w:numId w:val="3"/>
                          </w:numPr>
                          <w:spacing w:before="240"/>
                        </w:pPr>
                        <w:r w:rsidRPr="00575551">
                          <w:t xml:space="preserve">• When the executive meets with the company and ensures that the necessary payments </w:t>
                        </w:r>
                        <w:proofErr w:type="gramStart"/>
                        <w:r w:rsidRPr="00575551">
                          <w:t>are made</w:t>
                        </w:r>
                        <w:proofErr w:type="gramEnd"/>
                        <w:r w:rsidRPr="00575551">
                          <w:t>, the officer who prepares the contributions requests the necessary payrolls from the executive.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DC677A" w:rsidRDefault="00DC677A"/>
    <w:sectPr w:rsidR="00DC677A" w:rsidSect="00DC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3C7"/>
    <w:multiLevelType w:val="hybridMultilevel"/>
    <w:tmpl w:val="FE243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4AE1"/>
    <w:multiLevelType w:val="hybridMultilevel"/>
    <w:tmpl w:val="9B5CA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14C9"/>
    <w:multiLevelType w:val="hybridMultilevel"/>
    <w:tmpl w:val="11F66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93C1F"/>
    <w:multiLevelType w:val="hybridMultilevel"/>
    <w:tmpl w:val="622CA5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1813"/>
    <w:rsid w:val="001900C1"/>
    <w:rsid w:val="00554C79"/>
    <w:rsid w:val="00575551"/>
    <w:rsid w:val="0096045D"/>
    <w:rsid w:val="00AA7790"/>
    <w:rsid w:val="00C01813"/>
    <w:rsid w:val="00C05B71"/>
    <w:rsid w:val="00DC677A"/>
    <w:rsid w:val="00DC78EA"/>
    <w:rsid w:val="00E9318F"/>
    <w:rsid w:val="00E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9"/>
        <o:r id="V:Rule4" type="connector" idref="#_x0000_s1033"/>
        <o:r id="V:Rule5" type="connector" idref="#_x0000_s1030"/>
        <o:r id="V:Rule6" type="connector" idref="#_x0000_s1031"/>
      </o:rules>
    </o:shapelayout>
  </w:shapeDefaults>
  <w:decimalSymbol w:val=","/>
  <w:listSeparator w:val=";"/>
  <w14:docId w14:val="2D3A40E4"/>
  <w15:docId w15:val="{93DCC3A7-D2DD-48D9-ADC2-2AFFBEEA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Dösim</dc:creator>
  <cp:lastModifiedBy>Windows Kullanıcısı</cp:lastModifiedBy>
  <cp:revision>6</cp:revision>
  <dcterms:created xsi:type="dcterms:W3CDTF">2018-12-24T07:44:00Z</dcterms:created>
  <dcterms:modified xsi:type="dcterms:W3CDTF">2023-08-29T06:59:00Z</dcterms:modified>
</cp:coreProperties>
</file>