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CF5DD5" w:rsidRPr="00A43B24" w:rsidTr="000D7AB1">
        <w:trPr>
          <w:trHeight w:val="260"/>
        </w:trPr>
        <w:tc>
          <w:tcPr>
            <w:tcW w:w="4415" w:type="dxa"/>
          </w:tcPr>
          <w:p w:rsidR="00CF5DD5" w:rsidRPr="00A43B24" w:rsidRDefault="00CF5DD5" w:rsidP="000D7AB1">
            <w:pPr>
              <w:contextualSpacing/>
              <w:rPr>
                <w:rFonts w:ascii="Times New Roman" w:hAnsi="Times New Roman"/>
                <w:b/>
                <w:bCs/>
                <w:sz w:val="20"/>
                <w:szCs w:val="20"/>
              </w:rPr>
            </w:pPr>
            <w:r w:rsidRPr="00A43B24">
              <w:rPr>
                <w:rFonts w:ascii="Times New Roman" w:hAnsi="Times New Roman"/>
                <w:b/>
                <w:bCs/>
                <w:sz w:val="20"/>
                <w:szCs w:val="20"/>
              </w:rPr>
              <w:t xml:space="preserve">Toplantı Adı </w:t>
            </w:r>
          </w:p>
        </w:tc>
        <w:tc>
          <w:tcPr>
            <w:tcW w:w="5758" w:type="dxa"/>
          </w:tcPr>
          <w:p w:rsidR="00CF5DD5" w:rsidRPr="00A43B24" w:rsidRDefault="001109DA" w:rsidP="000D7AB1">
            <w:pPr>
              <w:contextualSpacing/>
              <w:rPr>
                <w:rFonts w:ascii="Times New Roman" w:hAnsi="Times New Roman"/>
                <w:sz w:val="20"/>
                <w:szCs w:val="20"/>
              </w:rPr>
            </w:pPr>
            <w:r>
              <w:rPr>
                <w:rFonts w:ascii="Times New Roman" w:hAnsi="Times New Roman"/>
                <w:sz w:val="20"/>
                <w:szCs w:val="20"/>
              </w:rPr>
              <w:t>2022-2023 eğitim öğretim yılı güz dönemi açılış toplantısı</w:t>
            </w:r>
          </w:p>
        </w:tc>
      </w:tr>
      <w:tr w:rsidR="00CF5DD5" w:rsidRPr="00A43B24" w:rsidTr="000D7AB1">
        <w:trPr>
          <w:trHeight w:val="260"/>
        </w:trPr>
        <w:tc>
          <w:tcPr>
            <w:tcW w:w="4415" w:type="dxa"/>
          </w:tcPr>
          <w:p w:rsidR="00CF5DD5" w:rsidRPr="00A43B24" w:rsidRDefault="00CF5DD5" w:rsidP="000D7AB1">
            <w:pPr>
              <w:contextualSpacing/>
              <w:rPr>
                <w:rFonts w:ascii="Times New Roman" w:hAnsi="Times New Roman"/>
                <w:b/>
                <w:bCs/>
                <w:sz w:val="20"/>
                <w:szCs w:val="20"/>
              </w:rPr>
            </w:pPr>
            <w:r w:rsidRPr="00A43B24">
              <w:rPr>
                <w:rFonts w:ascii="Times New Roman" w:hAnsi="Times New Roman"/>
                <w:b/>
                <w:bCs/>
                <w:sz w:val="20"/>
                <w:szCs w:val="20"/>
              </w:rPr>
              <w:t>Toplantı Tarihi / Saati</w:t>
            </w:r>
            <w:r w:rsidR="001109DA">
              <w:rPr>
                <w:rFonts w:ascii="Times New Roman" w:hAnsi="Times New Roman"/>
                <w:b/>
                <w:bCs/>
                <w:sz w:val="20"/>
                <w:szCs w:val="20"/>
              </w:rPr>
              <w:t xml:space="preserve"> / Yeri</w:t>
            </w:r>
          </w:p>
        </w:tc>
        <w:tc>
          <w:tcPr>
            <w:tcW w:w="5758" w:type="dxa"/>
          </w:tcPr>
          <w:p w:rsidR="00CF5DD5" w:rsidRPr="00A43B24" w:rsidRDefault="001109DA" w:rsidP="000D7AB1">
            <w:pPr>
              <w:contextualSpacing/>
              <w:rPr>
                <w:rFonts w:ascii="Times New Roman" w:hAnsi="Times New Roman"/>
                <w:sz w:val="20"/>
                <w:szCs w:val="20"/>
              </w:rPr>
            </w:pPr>
            <w:r>
              <w:rPr>
                <w:rFonts w:ascii="Times New Roman" w:hAnsi="Times New Roman"/>
                <w:sz w:val="20"/>
                <w:szCs w:val="20"/>
              </w:rPr>
              <w:t>30.09.2022 / 11:30 / Dekan Yardımcısı Ofisi</w:t>
            </w:r>
          </w:p>
        </w:tc>
      </w:tr>
      <w:tr w:rsidR="00CF5DD5" w:rsidRPr="00A43B24" w:rsidTr="000D7AB1">
        <w:trPr>
          <w:trHeight w:val="245"/>
        </w:trPr>
        <w:tc>
          <w:tcPr>
            <w:tcW w:w="4415" w:type="dxa"/>
          </w:tcPr>
          <w:p w:rsidR="00CF5DD5" w:rsidRPr="00A43B24" w:rsidRDefault="00CF5DD5" w:rsidP="000D7AB1">
            <w:pPr>
              <w:contextualSpacing/>
              <w:rPr>
                <w:rFonts w:ascii="Times New Roman" w:hAnsi="Times New Roman"/>
                <w:b/>
                <w:bCs/>
                <w:sz w:val="20"/>
                <w:szCs w:val="20"/>
              </w:rPr>
            </w:pPr>
            <w:r w:rsidRPr="00A43B24">
              <w:rPr>
                <w:rFonts w:ascii="Times New Roman" w:hAnsi="Times New Roman"/>
                <w:b/>
                <w:bCs/>
                <w:sz w:val="20"/>
                <w:szCs w:val="20"/>
              </w:rPr>
              <w:t>Toplantı Katılımcıları</w:t>
            </w:r>
          </w:p>
        </w:tc>
        <w:tc>
          <w:tcPr>
            <w:tcW w:w="5758" w:type="dxa"/>
          </w:tcPr>
          <w:p w:rsidR="00CF5DD5" w:rsidRPr="00A43B24" w:rsidRDefault="00DF54D5" w:rsidP="000D7AB1">
            <w:pPr>
              <w:contextualSpacing/>
              <w:rPr>
                <w:rFonts w:ascii="Times New Roman" w:hAnsi="Times New Roman"/>
                <w:sz w:val="20"/>
                <w:szCs w:val="20"/>
              </w:rPr>
            </w:pPr>
            <w:r>
              <w:rPr>
                <w:rFonts w:ascii="Times New Roman" w:hAnsi="Times New Roman"/>
                <w:sz w:val="20"/>
                <w:szCs w:val="20"/>
              </w:rPr>
              <w:t>Öğrenci Akademik Danışmanlığı Komisyonu</w:t>
            </w:r>
          </w:p>
        </w:tc>
      </w:tr>
      <w:tr w:rsidR="00CF5DD5" w:rsidRPr="00A43B24" w:rsidTr="000D7AB1">
        <w:trPr>
          <w:trHeight w:val="245"/>
        </w:trPr>
        <w:tc>
          <w:tcPr>
            <w:tcW w:w="10173" w:type="dxa"/>
            <w:gridSpan w:val="2"/>
          </w:tcPr>
          <w:p w:rsidR="00CF5DD5" w:rsidRPr="00A43B24" w:rsidRDefault="00CF5DD5" w:rsidP="000D7AB1">
            <w:pPr>
              <w:contextualSpacing/>
              <w:jc w:val="center"/>
              <w:rPr>
                <w:rFonts w:ascii="Times New Roman" w:hAnsi="Times New Roman"/>
                <w:b/>
                <w:sz w:val="20"/>
                <w:szCs w:val="20"/>
              </w:rPr>
            </w:pPr>
            <w:r w:rsidRPr="00A43B24">
              <w:rPr>
                <w:rFonts w:ascii="Times New Roman" w:hAnsi="Times New Roman"/>
                <w:b/>
                <w:sz w:val="20"/>
                <w:szCs w:val="20"/>
              </w:rPr>
              <w:t>GÜNDEM BAŞLIKLARI</w:t>
            </w:r>
          </w:p>
        </w:tc>
      </w:tr>
      <w:tr w:rsidR="00CF5DD5" w:rsidRPr="00A43B24" w:rsidTr="000D7AB1">
        <w:trPr>
          <w:trHeight w:val="245"/>
        </w:trPr>
        <w:tc>
          <w:tcPr>
            <w:tcW w:w="10173" w:type="dxa"/>
            <w:gridSpan w:val="2"/>
          </w:tcPr>
          <w:p w:rsidR="00CF5DD5" w:rsidRPr="00A43B24" w:rsidRDefault="001109DA" w:rsidP="00CF5DD5">
            <w:pPr>
              <w:numPr>
                <w:ilvl w:val="0"/>
                <w:numId w:val="1"/>
              </w:numPr>
              <w:contextualSpacing/>
              <w:rPr>
                <w:rFonts w:ascii="Times New Roman" w:hAnsi="Times New Roman"/>
                <w:sz w:val="20"/>
                <w:szCs w:val="20"/>
              </w:rPr>
            </w:pPr>
            <w:r>
              <w:rPr>
                <w:rFonts w:ascii="Times New Roman" w:hAnsi="Times New Roman"/>
                <w:sz w:val="20"/>
                <w:szCs w:val="20"/>
              </w:rPr>
              <w:t>Öğrenimine fakültede yeni başlayacak öğrencilerin oryantasyon programı için fayda sağlayacak konuların görüşülmesi</w:t>
            </w:r>
          </w:p>
        </w:tc>
      </w:tr>
      <w:tr w:rsidR="001109DA" w:rsidRPr="00A43B24" w:rsidTr="000D7AB1">
        <w:trPr>
          <w:trHeight w:val="245"/>
        </w:trPr>
        <w:tc>
          <w:tcPr>
            <w:tcW w:w="10173" w:type="dxa"/>
            <w:gridSpan w:val="2"/>
          </w:tcPr>
          <w:p w:rsidR="001109DA" w:rsidRDefault="001109DA" w:rsidP="00CF5DD5">
            <w:pPr>
              <w:numPr>
                <w:ilvl w:val="0"/>
                <w:numId w:val="1"/>
              </w:numPr>
              <w:contextualSpacing/>
              <w:rPr>
                <w:rFonts w:ascii="Times New Roman" w:hAnsi="Times New Roman"/>
                <w:sz w:val="20"/>
                <w:szCs w:val="20"/>
              </w:rPr>
            </w:pPr>
            <w:r>
              <w:rPr>
                <w:rFonts w:ascii="Times New Roman" w:hAnsi="Times New Roman"/>
                <w:sz w:val="20"/>
                <w:szCs w:val="20"/>
              </w:rPr>
              <w:t>Öğrenci Danışmanlarına Hizmet İçi Eğitim programı düzenlenmesinin görüşülmesi</w:t>
            </w:r>
          </w:p>
        </w:tc>
      </w:tr>
      <w:tr w:rsidR="001109DA" w:rsidRPr="00A43B24" w:rsidTr="000D7AB1">
        <w:trPr>
          <w:trHeight w:val="245"/>
        </w:trPr>
        <w:tc>
          <w:tcPr>
            <w:tcW w:w="10173" w:type="dxa"/>
            <w:gridSpan w:val="2"/>
          </w:tcPr>
          <w:p w:rsidR="001109DA" w:rsidRDefault="001109DA" w:rsidP="00CF5DD5">
            <w:pPr>
              <w:numPr>
                <w:ilvl w:val="0"/>
                <w:numId w:val="1"/>
              </w:numPr>
              <w:contextualSpacing/>
              <w:rPr>
                <w:rFonts w:ascii="Times New Roman" w:hAnsi="Times New Roman"/>
                <w:sz w:val="20"/>
                <w:szCs w:val="20"/>
              </w:rPr>
            </w:pPr>
            <w:r>
              <w:rPr>
                <w:rFonts w:ascii="Times New Roman" w:hAnsi="Times New Roman"/>
                <w:sz w:val="20"/>
                <w:szCs w:val="20"/>
              </w:rPr>
              <w:t>Danışmanlık Yönergesinin incelenmesi</w:t>
            </w:r>
          </w:p>
        </w:tc>
      </w:tr>
      <w:tr w:rsidR="00CF5DD5" w:rsidRPr="00A43B24" w:rsidTr="000D7AB1">
        <w:trPr>
          <w:trHeight w:val="245"/>
        </w:trPr>
        <w:tc>
          <w:tcPr>
            <w:tcW w:w="10173" w:type="dxa"/>
            <w:gridSpan w:val="2"/>
          </w:tcPr>
          <w:p w:rsidR="00CF5DD5" w:rsidRPr="00A43B24" w:rsidRDefault="00E00B91" w:rsidP="00CF5DD5">
            <w:pPr>
              <w:numPr>
                <w:ilvl w:val="0"/>
                <w:numId w:val="1"/>
              </w:numPr>
              <w:contextualSpacing/>
              <w:rPr>
                <w:rFonts w:ascii="Times New Roman" w:hAnsi="Times New Roman"/>
                <w:sz w:val="20"/>
                <w:szCs w:val="20"/>
              </w:rPr>
            </w:pPr>
            <w:r w:rsidRPr="00A43B24">
              <w:rPr>
                <w:rFonts w:ascii="Times New Roman" w:hAnsi="Times New Roman"/>
                <w:sz w:val="20"/>
                <w:szCs w:val="20"/>
              </w:rPr>
              <w:t>Görüş ve öneriler.</w:t>
            </w:r>
          </w:p>
        </w:tc>
      </w:tr>
    </w:tbl>
    <w:p w:rsidR="00CF5DD5" w:rsidRPr="00A43B24" w:rsidRDefault="00CF5DD5">
      <w:pPr>
        <w:rPr>
          <w:rFonts w:ascii="Times New Roman" w:hAnsi="Times New Roman"/>
          <w:sz w:val="20"/>
          <w:szCs w:val="20"/>
        </w:rPr>
      </w:pPr>
    </w:p>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CF5DD5" w:rsidRPr="00A43B24" w:rsidTr="00444231">
        <w:trPr>
          <w:trHeight w:val="3676"/>
        </w:trPr>
        <w:tc>
          <w:tcPr>
            <w:tcW w:w="10201" w:type="dxa"/>
          </w:tcPr>
          <w:p w:rsidR="00E83392" w:rsidRPr="00A43B24" w:rsidRDefault="00E83392" w:rsidP="00444231">
            <w:pPr>
              <w:pStyle w:val="ListeParagraf"/>
              <w:tabs>
                <w:tab w:val="left" w:pos="2595"/>
              </w:tabs>
              <w:ind w:left="540"/>
              <w:jc w:val="both"/>
              <w:rPr>
                <w:rFonts w:ascii="Times New Roman" w:hAnsi="Times New Roman"/>
                <w:sz w:val="20"/>
                <w:szCs w:val="20"/>
              </w:rPr>
            </w:pPr>
          </w:p>
          <w:p w:rsidR="00E83392" w:rsidRPr="00A43B24" w:rsidRDefault="00E83392" w:rsidP="00444231">
            <w:pPr>
              <w:pStyle w:val="ListeParagraf"/>
              <w:tabs>
                <w:tab w:val="left" w:pos="2595"/>
              </w:tabs>
              <w:ind w:left="540"/>
              <w:jc w:val="both"/>
              <w:rPr>
                <w:rFonts w:ascii="Times New Roman" w:hAnsi="Times New Roman"/>
                <w:sz w:val="20"/>
                <w:szCs w:val="20"/>
              </w:rPr>
            </w:pPr>
          </w:p>
          <w:p w:rsidR="00CF5DD5" w:rsidRPr="00A43B24" w:rsidRDefault="001109DA" w:rsidP="00444231">
            <w:pPr>
              <w:tabs>
                <w:tab w:val="left" w:pos="2595"/>
              </w:tabs>
              <w:contextualSpacing/>
              <w:jc w:val="both"/>
              <w:rPr>
                <w:rFonts w:ascii="Times New Roman" w:hAnsi="Times New Roman"/>
                <w:sz w:val="20"/>
                <w:szCs w:val="20"/>
              </w:rPr>
            </w:pPr>
            <w:r w:rsidRPr="001109DA">
              <w:rPr>
                <w:rFonts w:ascii="Times New Roman" w:hAnsi="Times New Roman"/>
                <w:noProof/>
                <w:sz w:val="20"/>
                <w:szCs w:val="20"/>
              </w:rPr>
              <w:drawing>
                <wp:inline distT="0" distB="0" distL="0" distR="0">
                  <wp:extent cx="5128895" cy="3381375"/>
                  <wp:effectExtent l="0" t="0" r="0" b="9525"/>
                  <wp:docPr id="2" name="Resim 2" descr="C:\Users\COMU\Documents\KALİTE GÜVENCESİ VE İÇ KONTROL\TOPLANTILAR\TOPLANTI FOROĞRAFLARI\Öğrenci Akademik Danışmanlığı KOmisyonu3009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Documents\KALİTE GÜVENCESİ VE İÇ KONTROL\TOPLANTILAR\TOPLANTI FOROĞRAFLARI\Öğrenci Akademik Danışmanlığı KOmisyonu30092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2684" cy="3383873"/>
                          </a:xfrm>
                          <a:prstGeom prst="rect">
                            <a:avLst/>
                          </a:prstGeom>
                          <a:noFill/>
                          <a:ln>
                            <a:noFill/>
                          </a:ln>
                        </pic:spPr>
                      </pic:pic>
                    </a:graphicData>
                  </a:graphic>
                </wp:inline>
              </w:drawing>
            </w:r>
          </w:p>
          <w:p w:rsidR="00E83392" w:rsidRDefault="001109DA" w:rsidP="00444231">
            <w:pPr>
              <w:tabs>
                <w:tab w:val="left" w:pos="2595"/>
              </w:tabs>
              <w:contextualSpacing/>
              <w:jc w:val="both"/>
              <w:rPr>
                <w:rFonts w:ascii="Times New Roman" w:hAnsi="Times New Roman"/>
                <w:sz w:val="20"/>
                <w:szCs w:val="20"/>
              </w:rPr>
            </w:pPr>
            <w:bookmarkStart w:id="0" w:name="_GoBack"/>
            <w:bookmarkEnd w:id="0"/>
            <w:r>
              <w:rPr>
                <w:rFonts w:ascii="Times New Roman" w:hAnsi="Times New Roman"/>
                <w:sz w:val="20"/>
                <w:szCs w:val="20"/>
              </w:rPr>
              <w:t>RAPOR :</w:t>
            </w:r>
          </w:p>
          <w:p w:rsidR="001109DA" w:rsidRPr="00A43B24" w:rsidRDefault="001109DA" w:rsidP="00444231">
            <w:pPr>
              <w:tabs>
                <w:tab w:val="left" w:pos="2595"/>
              </w:tabs>
              <w:contextualSpacing/>
              <w:jc w:val="both"/>
              <w:rPr>
                <w:rFonts w:ascii="Times New Roman" w:hAnsi="Times New Roman"/>
                <w:sz w:val="20"/>
                <w:szCs w:val="20"/>
              </w:rPr>
            </w:pPr>
            <w:r>
              <w:rPr>
                <w:rFonts w:ascii="Times New Roman" w:hAnsi="Times New Roman"/>
                <w:sz w:val="20"/>
                <w:szCs w:val="20"/>
              </w:rPr>
              <w:t>Çanakkale Onsekiz Mart Üniversitesi Önlisans</w:t>
            </w:r>
            <w:r w:rsidR="001A1974">
              <w:rPr>
                <w:rFonts w:ascii="Times New Roman" w:hAnsi="Times New Roman"/>
                <w:sz w:val="20"/>
                <w:szCs w:val="20"/>
              </w:rPr>
              <w:t>/Lisans Öğrenci Danışmanlık Yönergesi incelendi. Yönerge ile ilgili hususlar tartışıldı. Öğrenci danışmanlarına yönelik 03.10.2022 tarihinde bir bilgilendirme toplantısı yapılmasına karar verildi. Özellikle yeni başlayacak öğrencilerin üniversiteye ve fakültemize uyumlarını sorunsuz bir şekilde sağlayabilmeleri adına danışmanlarca yapılması gereken hususlar görüşüldü. Danışmanların yer aldığı bir iletişim ağının oluşturulması kararlaştırıldı. Öğrencileri ilgilendiren konuların bu iletişim ağından paylaşılarak öğrencilere en kısa sürede ulaştırılması gerektiği görüşüldü. Danışmanların aynı zamanda Öğrenci Yaşam, Kariyer ve Mezun İlişkileri Koordinatörlüğü ile eşgüdümlü bir şekilde hareket etmeleri gerektiği konuşuldu.</w:t>
            </w:r>
          </w:p>
          <w:p w:rsidR="00E83392" w:rsidRPr="00A43B24" w:rsidRDefault="00E83392" w:rsidP="00444231">
            <w:pPr>
              <w:tabs>
                <w:tab w:val="left" w:pos="2595"/>
              </w:tabs>
              <w:contextualSpacing/>
              <w:jc w:val="both"/>
              <w:rPr>
                <w:rFonts w:ascii="Times New Roman" w:hAnsi="Times New Roman"/>
                <w:sz w:val="20"/>
                <w:szCs w:val="20"/>
              </w:rPr>
            </w:pPr>
          </w:p>
          <w:p w:rsidR="00CF5DD5" w:rsidRDefault="00EC06FC" w:rsidP="00444231">
            <w:pPr>
              <w:tabs>
                <w:tab w:val="left" w:pos="2595"/>
              </w:tabs>
              <w:contextualSpacing/>
              <w:jc w:val="both"/>
              <w:rPr>
                <w:rFonts w:ascii="Times New Roman" w:hAnsi="Times New Roman"/>
                <w:sz w:val="20"/>
                <w:szCs w:val="20"/>
              </w:rPr>
            </w:pPr>
            <w:hyperlink r:id="rId8" w:history="1">
              <w:r w:rsidRPr="00283BBA">
                <w:rPr>
                  <w:rStyle w:val="Kpr"/>
                  <w:rFonts w:ascii="Times New Roman" w:hAnsi="Times New Roman"/>
                  <w:sz w:val="20"/>
                  <w:szCs w:val="20"/>
                </w:rPr>
                <w:t>https://egitim.comu.edu.tr/arsiv/haberler/egitim-fakultesi-ogrenci-akademik-danismanligi-kom-r1915.html</w:t>
              </w:r>
            </w:hyperlink>
          </w:p>
          <w:p w:rsidR="00EC06FC" w:rsidRPr="00A43B24" w:rsidRDefault="00EC06FC" w:rsidP="00444231">
            <w:pPr>
              <w:tabs>
                <w:tab w:val="left" w:pos="2595"/>
              </w:tabs>
              <w:contextualSpacing/>
              <w:jc w:val="both"/>
              <w:rPr>
                <w:rFonts w:ascii="Times New Roman" w:hAnsi="Times New Roman"/>
                <w:sz w:val="20"/>
                <w:szCs w:val="20"/>
              </w:rPr>
            </w:pPr>
          </w:p>
        </w:tc>
      </w:tr>
    </w:tbl>
    <w:p w:rsidR="00CF5DD5" w:rsidRPr="00A43B24" w:rsidRDefault="00CF5DD5">
      <w:pPr>
        <w:rPr>
          <w:rFonts w:ascii="Times New Roman" w:hAnsi="Times New Roman"/>
          <w:sz w:val="20"/>
          <w:szCs w:val="20"/>
        </w:rPr>
      </w:pPr>
    </w:p>
    <w:tbl>
      <w:tblPr>
        <w:tblStyle w:val="TabloKlavuzu"/>
        <w:tblW w:w="0" w:type="auto"/>
        <w:tblInd w:w="137" w:type="dxa"/>
        <w:tblLook w:val="04A0" w:firstRow="1" w:lastRow="0" w:firstColumn="1" w:lastColumn="0" w:noHBand="0" w:noVBand="1"/>
      </w:tblPr>
      <w:tblGrid>
        <w:gridCol w:w="678"/>
        <w:gridCol w:w="9575"/>
      </w:tblGrid>
      <w:tr w:rsidR="00CF5DD5" w:rsidRPr="00A43B24" w:rsidTr="00A43B24">
        <w:tc>
          <w:tcPr>
            <w:tcW w:w="10253" w:type="dxa"/>
            <w:gridSpan w:val="2"/>
          </w:tcPr>
          <w:p w:rsidR="00CF5DD5" w:rsidRPr="00A43B24" w:rsidRDefault="00CF5DD5" w:rsidP="000D7AB1">
            <w:pPr>
              <w:contextualSpacing/>
              <w:jc w:val="center"/>
              <w:rPr>
                <w:rFonts w:ascii="Times New Roman" w:hAnsi="Times New Roman"/>
                <w:b/>
                <w:sz w:val="20"/>
                <w:szCs w:val="20"/>
              </w:rPr>
            </w:pPr>
            <w:r w:rsidRPr="00A43B24">
              <w:rPr>
                <w:rFonts w:ascii="Times New Roman" w:hAnsi="Times New Roman"/>
                <w:b/>
                <w:sz w:val="20"/>
                <w:szCs w:val="20"/>
              </w:rPr>
              <w:t>TOPLANTIYA KATILANLAR</w:t>
            </w:r>
          </w:p>
        </w:tc>
      </w:tr>
      <w:tr w:rsidR="001A1974" w:rsidRPr="00A43B24" w:rsidTr="001A1974">
        <w:tc>
          <w:tcPr>
            <w:tcW w:w="678" w:type="dxa"/>
          </w:tcPr>
          <w:p w:rsidR="001A1974" w:rsidRPr="00A43B24" w:rsidRDefault="001A1974" w:rsidP="000D7AB1">
            <w:pPr>
              <w:contextualSpacing/>
              <w:rPr>
                <w:rFonts w:ascii="Times New Roman" w:hAnsi="Times New Roman"/>
                <w:b/>
                <w:sz w:val="20"/>
                <w:szCs w:val="20"/>
              </w:rPr>
            </w:pPr>
            <w:r w:rsidRPr="00A43B24">
              <w:rPr>
                <w:rFonts w:ascii="Times New Roman" w:hAnsi="Times New Roman"/>
                <w:b/>
                <w:sz w:val="20"/>
                <w:szCs w:val="20"/>
              </w:rPr>
              <w:t>S.NO</w:t>
            </w:r>
          </w:p>
        </w:tc>
        <w:tc>
          <w:tcPr>
            <w:tcW w:w="9575" w:type="dxa"/>
          </w:tcPr>
          <w:p w:rsidR="001A1974" w:rsidRPr="00A43B24" w:rsidRDefault="001A1974" w:rsidP="000D7AB1">
            <w:pPr>
              <w:contextualSpacing/>
              <w:rPr>
                <w:rFonts w:ascii="Times New Roman" w:hAnsi="Times New Roman"/>
                <w:b/>
                <w:sz w:val="20"/>
                <w:szCs w:val="20"/>
              </w:rPr>
            </w:pPr>
            <w:r w:rsidRPr="00A43B24">
              <w:rPr>
                <w:rFonts w:ascii="Times New Roman" w:hAnsi="Times New Roman"/>
                <w:b/>
                <w:sz w:val="20"/>
                <w:szCs w:val="20"/>
              </w:rPr>
              <w:t>Ad Soyad</w:t>
            </w:r>
          </w:p>
        </w:tc>
      </w:tr>
      <w:tr w:rsidR="001A1974" w:rsidRPr="00A43B24" w:rsidTr="001A1974">
        <w:trPr>
          <w:trHeight w:val="454"/>
        </w:trPr>
        <w:tc>
          <w:tcPr>
            <w:tcW w:w="678" w:type="dxa"/>
          </w:tcPr>
          <w:p w:rsidR="001A1974" w:rsidRPr="00A43B24" w:rsidRDefault="001A1974" w:rsidP="00A43B24">
            <w:pPr>
              <w:contextualSpacing/>
              <w:rPr>
                <w:rFonts w:ascii="Times New Roman" w:hAnsi="Times New Roman"/>
                <w:sz w:val="20"/>
                <w:szCs w:val="20"/>
              </w:rPr>
            </w:pPr>
            <w:r w:rsidRPr="00A43B24">
              <w:rPr>
                <w:rFonts w:ascii="Times New Roman" w:hAnsi="Times New Roman"/>
                <w:sz w:val="20"/>
                <w:szCs w:val="20"/>
              </w:rPr>
              <w:t>1</w:t>
            </w:r>
          </w:p>
        </w:tc>
        <w:tc>
          <w:tcPr>
            <w:tcW w:w="9575" w:type="dxa"/>
          </w:tcPr>
          <w:p w:rsidR="001A1974" w:rsidRPr="00A43B24" w:rsidRDefault="001A1974" w:rsidP="00A43B24">
            <w:pPr>
              <w:pStyle w:val="NormalWeb"/>
              <w:shd w:val="clear" w:color="auto" w:fill="FFFFFF"/>
              <w:spacing w:after="150"/>
              <w:jc w:val="both"/>
              <w:rPr>
                <w:color w:val="333333"/>
                <w:sz w:val="20"/>
                <w:szCs w:val="20"/>
              </w:rPr>
            </w:pPr>
            <w:r>
              <w:rPr>
                <w:color w:val="333333"/>
                <w:sz w:val="20"/>
                <w:szCs w:val="20"/>
              </w:rPr>
              <w:t>Doç. Dr. Adil ÇORUK</w:t>
            </w:r>
          </w:p>
        </w:tc>
      </w:tr>
      <w:tr w:rsidR="001A1974" w:rsidRPr="00A43B24" w:rsidTr="001A1974">
        <w:trPr>
          <w:trHeight w:val="454"/>
        </w:trPr>
        <w:tc>
          <w:tcPr>
            <w:tcW w:w="678" w:type="dxa"/>
          </w:tcPr>
          <w:p w:rsidR="001A1974" w:rsidRPr="00A43B24" w:rsidRDefault="001A1974" w:rsidP="00A43B24">
            <w:pPr>
              <w:contextualSpacing/>
              <w:rPr>
                <w:rFonts w:ascii="Times New Roman" w:hAnsi="Times New Roman"/>
                <w:sz w:val="20"/>
                <w:szCs w:val="20"/>
              </w:rPr>
            </w:pPr>
            <w:r w:rsidRPr="00A43B24">
              <w:rPr>
                <w:rFonts w:ascii="Times New Roman" w:hAnsi="Times New Roman"/>
                <w:sz w:val="20"/>
                <w:szCs w:val="20"/>
              </w:rPr>
              <w:t>2</w:t>
            </w:r>
          </w:p>
        </w:tc>
        <w:tc>
          <w:tcPr>
            <w:tcW w:w="9575" w:type="dxa"/>
          </w:tcPr>
          <w:p w:rsidR="001A1974" w:rsidRPr="00A43B24" w:rsidRDefault="001A1974" w:rsidP="00A43B24">
            <w:pPr>
              <w:pStyle w:val="NormalWeb"/>
              <w:shd w:val="clear" w:color="auto" w:fill="FFFFFF"/>
              <w:spacing w:after="150"/>
              <w:jc w:val="both"/>
              <w:rPr>
                <w:color w:val="333333"/>
                <w:sz w:val="20"/>
                <w:szCs w:val="20"/>
              </w:rPr>
            </w:pPr>
            <w:r>
              <w:rPr>
                <w:color w:val="333333"/>
                <w:sz w:val="20"/>
                <w:szCs w:val="20"/>
              </w:rPr>
              <w:t>Doç. Dr. Kürşat CESUR</w:t>
            </w:r>
          </w:p>
        </w:tc>
      </w:tr>
      <w:tr w:rsidR="001A1974" w:rsidRPr="00A43B24" w:rsidTr="001A1974">
        <w:trPr>
          <w:trHeight w:val="454"/>
        </w:trPr>
        <w:tc>
          <w:tcPr>
            <w:tcW w:w="678" w:type="dxa"/>
          </w:tcPr>
          <w:p w:rsidR="001A1974" w:rsidRPr="00A43B24" w:rsidRDefault="001A1974" w:rsidP="00A43B24">
            <w:pPr>
              <w:contextualSpacing/>
              <w:rPr>
                <w:rFonts w:ascii="Times New Roman" w:hAnsi="Times New Roman"/>
                <w:sz w:val="20"/>
                <w:szCs w:val="20"/>
              </w:rPr>
            </w:pPr>
            <w:r w:rsidRPr="00A43B24">
              <w:rPr>
                <w:rFonts w:ascii="Times New Roman" w:hAnsi="Times New Roman"/>
                <w:sz w:val="20"/>
                <w:szCs w:val="20"/>
              </w:rPr>
              <w:t>3</w:t>
            </w:r>
          </w:p>
        </w:tc>
        <w:tc>
          <w:tcPr>
            <w:tcW w:w="9575" w:type="dxa"/>
          </w:tcPr>
          <w:p w:rsidR="001A1974" w:rsidRPr="00A43B24" w:rsidRDefault="001A1974" w:rsidP="00A43B24">
            <w:pPr>
              <w:pStyle w:val="NormalWeb"/>
              <w:shd w:val="clear" w:color="auto" w:fill="FFFFFF"/>
              <w:spacing w:after="150"/>
              <w:jc w:val="both"/>
              <w:rPr>
                <w:color w:val="333333"/>
                <w:sz w:val="20"/>
                <w:szCs w:val="20"/>
              </w:rPr>
            </w:pPr>
            <w:r>
              <w:rPr>
                <w:color w:val="333333"/>
                <w:sz w:val="20"/>
                <w:szCs w:val="20"/>
              </w:rPr>
              <w:t>Dr. Öğr. Üyesi Melike Şefika ÇAĞATAY</w:t>
            </w: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D1" w:rsidRDefault="00A10BD1" w:rsidP="00E0044E">
      <w:pPr>
        <w:spacing w:after="0" w:line="240" w:lineRule="auto"/>
      </w:pPr>
      <w:r>
        <w:separator/>
      </w:r>
    </w:p>
  </w:endnote>
  <w:endnote w:type="continuationSeparator" w:id="0">
    <w:p w:rsidR="00A10BD1" w:rsidRDefault="00A10BD1"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D1" w:rsidRDefault="00A10BD1" w:rsidP="00E0044E">
      <w:pPr>
        <w:spacing w:after="0" w:line="240" w:lineRule="auto"/>
      </w:pPr>
      <w:r>
        <w:separator/>
      </w:r>
    </w:p>
  </w:footnote>
  <w:footnote w:type="continuationSeparator" w:id="0">
    <w:p w:rsidR="00A10BD1" w:rsidRDefault="00A10BD1"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109DA"/>
    <w:rsid w:val="001A1974"/>
    <w:rsid w:val="001E67A0"/>
    <w:rsid w:val="00256961"/>
    <w:rsid w:val="002864B7"/>
    <w:rsid w:val="002E2B02"/>
    <w:rsid w:val="00353C0A"/>
    <w:rsid w:val="003D4F94"/>
    <w:rsid w:val="00444231"/>
    <w:rsid w:val="004D6A05"/>
    <w:rsid w:val="00740778"/>
    <w:rsid w:val="00775717"/>
    <w:rsid w:val="00A10BD1"/>
    <w:rsid w:val="00A43B24"/>
    <w:rsid w:val="00B92CC8"/>
    <w:rsid w:val="00B9473E"/>
    <w:rsid w:val="00CF5DD5"/>
    <w:rsid w:val="00D04974"/>
    <w:rsid w:val="00DA4EDB"/>
    <w:rsid w:val="00DF54D5"/>
    <w:rsid w:val="00E0044E"/>
    <w:rsid w:val="00E00B91"/>
    <w:rsid w:val="00E208BC"/>
    <w:rsid w:val="00E83392"/>
    <w:rsid w:val="00EB33FD"/>
    <w:rsid w:val="00EC06FC"/>
    <w:rsid w:val="00ED5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NormalWeb">
    <w:name w:val="Normal (Web)"/>
    <w:basedOn w:val="Normal"/>
    <w:uiPriority w:val="99"/>
    <w:semiHidden/>
    <w:unhideWhenUsed/>
    <w:rsid w:val="00A43B24"/>
    <w:pPr>
      <w:spacing w:before="100" w:beforeAutospacing="1" w:after="100" w:afterAutospacing="1" w:line="240" w:lineRule="auto"/>
    </w:pPr>
    <w:rPr>
      <w:rFonts w:ascii="Times New Roman" w:eastAsia="Times New Roman" w:hAnsi="Times New Roman"/>
      <w:sz w:val="24"/>
      <w:szCs w:val="24"/>
    </w:rPr>
  </w:style>
  <w:style w:type="character" w:styleId="Kpr">
    <w:name w:val="Hyperlink"/>
    <w:basedOn w:val="VarsaylanParagrafYazTipi"/>
    <w:uiPriority w:val="99"/>
    <w:unhideWhenUsed/>
    <w:rsid w:val="00EC06FC"/>
    <w:rPr>
      <w:color w:val="0563C1" w:themeColor="hyperlink"/>
      <w:u w:val="single"/>
    </w:rPr>
  </w:style>
  <w:style w:type="paragraph" w:styleId="BalonMetni">
    <w:name w:val="Balloon Text"/>
    <w:basedOn w:val="Normal"/>
    <w:link w:val="BalonMetniChar"/>
    <w:uiPriority w:val="99"/>
    <w:semiHidden/>
    <w:unhideWhenUsed/>
    <w:rsid w:val="00EC0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06FC"/>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tim.comu.edu.tr/arsiv/haberler/egitim-fakultesi-ogrenci-akademik-danismanligi-kom-r191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cp:lastPrinted>2022-10-04T11:16:00Z</cp:lastPrinted>
  <dcterms:created xsi:type="dcterms:W3CDTF">2022-03-24T07:53:00Z</dcterms:created>
  <dcterms:modified xsi:type="dcterms:W3CDTF">2022-10-04T11:16:00Z</dcterms:modified>
</cp:coreProperties>
</file>