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00" w:rsidRPr="001B320E" w:rsidRDefault="00351610" w:rsidP="008D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320E">
        <w:rPr>
          <w:rFonts w:ascii="Times New Roman" w:hAnsi="Times New Roman" w:cs="Times New Roman"/>
          <w:b/>
          <w:sz w:val="24"/>
          <w:szCs w:val="24"/>
        </w:rPr>
        <w:t>E</w:t>
      </w:r>
      <w:r w:rsidR="00A23300" w:rsidRPr="001B320E">
        <w:rPr>
          <w:rFonts w:ascii="Times New Roman" w:hAnsi="Times New Roman" w:cs="Times New Roman"/>
          <w:b/>
          <w:sz w:val="24"/>
          <w:szCs w:val="24"/>
        </w:rPr>
        <w:t xml:space="preserve">RASMUS+ </w:t>
      </w:r>
      <w:r w:rsidR="00690584" w:rsidRPr="001B320E">
        <w:rPr>
          <w:rFonts w:ascii="Times New Roman" w:hAnsi="Times New Roman" w:cs="Times New Roman"/>
          <w:b/>
          <w:sz w:val="24"/>
          <w:szCs w:val="24"/>
        </w:rPr>
        <w:t>PROGRAMI 2014 YILI YÜKSEKÖĞRETİM KA-1 HAREKETLİLİK SONUÇLARINA İLİŞKİN AÇIKLAMA</w:t>
      </w:r>
    </w:p>
    <w:bookmarkEnd w:id="0"/>
    <w:p w:rsidR="008D6A8D" w:rsidRPr="001B320E" w:rsidRDefault="008D6A8D" w:rsidP="008D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84" w:rsidRPr="001B320E" w:rsidRDefault="00690584" w:rsidP="00E90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2D" w:rsidRDefault="00690584" w:rsidP="00E90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0E">
        <w:rPr>
          <w:rFonts w:ascii="Times New Roman" w:hAnsi="Times New Roman" w:cs="Times New Roman"/>
          <w:sz w:val="24"/>
          <w:szCs w:val="24"/>
        </w:rPr>
        <w:t>Türkiye Ulusal Ajansı olarak</w:t>
      </w:r>
      <w:r w:rsidR="00F529D2">
        <w:rPr>
          <w:rFonts w:ascii="Times New Roman" w:hAnsi="Times New Roman" w:cs="Times New Roman"/>
          <w:sz w:val="24"/>
          <w:szCs w:val="24"/>
        </w:rPr>
        <w:t>,</w:t>
      </w:r>
      <w:r w:rsidRPr="001B320E">
        <w:rPr>
          <w:rFonts w:ascii="Times New Roman" w:hAnsi="Times New Roman" w:cs="Times New Roman"/>
          <w:sz w:val="24"/>
          <w:szCs w:val="24"/>
        </w:rPr>
        <w:t xml:space="preserve"> 25 Temmuz 2014 tarihinde açıklanan Erasmus+ Programı 2014 yılı </w:t>
      </w:r>
      <w:r w:rsidR="00042F05">
        <w:rPr>
          <w:rFonts w:ascii="Times New Roman" w:hAnsi="Times New Roman" w:cs="Times New Roman"/>
          <w:sz w:val="24"/>
          <w:szCs w:val="24"/>
        </w:rPr>
        <w:t xml:space="preserve">yükseköğretim </w:t>
      </w:r>
      <w:r w:rsidRPr="001B320E">
        <w:rPr>
          <w:rFonts w:ascii="Times New Roman" w:hAnsi="Times New Roman" w:cs="Times New Roman"/>
          <w:sz w:val="24"/>
          <w:szCs w:val="24"/>
        </w:rPr>
        <w:t xml:space="preserve">KA-1 hareketlilik sonuçlarının birçok </w:t>
      </w:r>
      <w:r w:rsidR="00BE4192">
        <w:rPr>
          <w:rFonts w:ascii="Times New Roman" w:hAnsi="Times New Roman" w:cs="Times New Roman"/>
          <w:sz w:val="24"/>
          <w:szCs w:val="24"/>
        </w:rPr>
        <w:t xml:space="preserve">yükseköğretim kurumumuzun </w:t>
      </w:r>
      <w:r w:rsidRPr="001B320E">
        <w:rPr>
          <w:rFonts w:ascii="Times New Roman" w:hAnsi="Times New Roman" w:cs="Times New Roman"/>
          <w:sz w:val="24"/>
          <w:szCs w:val="24"/>
        </w:rPr>
        <w:t>beklenti</w:t>
      </w:r>
      <w:r w:rsidR="00BE4192">
        <w:rPr>
          <w:rFonts w:ascii="Times New Roman" w:hAnsi="Times New Roman" w:cs="Times New Roman"/>
          <w:sz w:val="24"/>
          <w:szCs w:val="24"/>
        </w:rPr>
        <w:t xml:space="preserve">sinin </w:t>
      </w:r>
      <w:r w:rsidRPr="001B320E">
        <w:rPr>
          <w:rFonts w:ascii="Times New Roman" w:hAnsi="Times New Roman" w:cs="Times New Roman"/>
          <w:sz w:val="24"/>
          <w:szCs w:val="24"/>
        </w:rPr>
        <w:t>altında kaldığını</w:t>
      </w:r>
      <w:r w:rsidR="00932B1F" w:rsidRPr="001B320E">
        <w:rPr>
          <w:rFonts w:ascii="Times New Roman" w:hAnsi="Times New Roman" w:cs="Times New Roman"/>
          <w:sz w:val="24"/>
          <w:szCs w:val="24"/>
        </w:rPr>
        <w:t>n</w:t>
      </w:r>
      <w:r w:rsidRPr="001B320E">
        <w:rPr>
          <w:rFonts w:ascii="Times New Roman" w:hAnsi="Times New Roman" w:cs="Times New Roman"/>
          <w:sz w:val="24"/>
          <w:szCs w:val="24"/>
        </w:rPr>
        <w:t xml:space="preserve"> </w:t>
      </w:r>
      <w:r w:rsidRPr="00462E54">
        <w:rPr>
          <w:rFonts w:ascii="Times New Roman" w:hAnsi="Times New Roman" w:cs="Times New Roman"/>
          <w:sz w:val="24"/>
          <w:szCs w:val="24"/>
        </w:rPr>
        <w:t xml:space="preserve">farkındayız. Bu kapsamda </w:t>
      </w:r>
      <w:r w:rsidR="00BE4192" w:rsidRPr="00462E54">
        <w:rPr>
          <w:rFonts w:ascii="Times New Roman" w:hAnsi="Times New Roman" w:cs="Times New Roman"/>
          <w:sz w:val="24"/>
          <w:szCs w:val="24"/>
        </w:rPr>
        <w:t xml:space="preserve">sizlerin </w:t>
      </w:r>
      <w:r w:rsidRPr="00462E54">
        <w:rPr>
          <w:rFonts w:ascii="Times New Roman" w:hAnsi="Times New Roman" w:cs="Times New Roman"/>
          <w:sz w:val="24"/>
          <w:szCs w:val="24"/>
        </w:rPr>
        <w:t xml:space="preserve">taleplerini karşılayamamaktan derin üzüntü duymaktayız. </w:t>
      </w:r>
      <w:r w:rsidR="0035242D" w:rsidRPr="00462E54">
        <w:rPr>
          <w:rFonts w:ascii="Times New Roman" w:hAnsi="Times New Roman" w:cs="Times New Roman"/>
          <w:sz w:val="24"/>
          <w:szCs w:val="24"/>
        </w:rPr>
        <w:t xml:space="preserve">Diğer taraftan, </w:t>
      </w:r>
      <w:r w:rsidR="00DD0B10" w:rsidRPr="00462E54">
        <w:rPr>
          <w:rFonts w:ascii="Times New Roman" w:hAnsi="Times New Roman" w:cs="Times New Roman"/>
          <w:sz w:val="24"/>
          <w:szCs w:val="24"/>
        </w:rPr>
        <w:t>bugünlerde çeşitli basın-yayın organlarında çıkan haberler nedeni ile s</w:t>
      </w:r>
      <w:r w:rsidR="001B320E" w:rsidRPr="00462E54">
        <w:rPr>
          <w:rFonts w:ascii="Times New Roman" w:hAnsi="Times New Roman" w:cs="Times New Roman"/>
          <w:sz w:val="24"/>
          <w:szCs w:val="24"/>
        </w:rPr>
        <w:t>izler</w:t>
      </w:r>
      <w:r w:rsidR="00DD0B10" w:rsidRPr="00462E54">
        <w:rPr>
          <w:rFonts w:ascii="Times New Roman" w:hAnsi="Times New Roman" w:cs="Times New Roman"/>
          <w:sz w:val="24"/>
          <w:szCs w:val="24"/>
        </w:rPr>
        <w:t>le</w:t>
      </w:r>
      <w:r w:rsidR="001B320E" w:rsidRPr="00462E54">
        <w:rPr>
          <w:rFonts w:ascii="Times New Roman" w:hAnsi="Times New Roman" w:cs="Times New Roman"/>
          <w:sz w:val="24"/>
          <w:szCs w:val="24"/>
        </w:rPr>
        <w:t xml:space="preserve"> aşağıdaki bilgileri paylaşmanın faydalı olacağını düşün</w:t>
      </w:r>
      <w:r w:rsidR="0035242D" w:rsidRPr="00462E54">
        <w:rPr>
          <w:rFonts w:ascii="Times New Roman" w:hAnsi="Times New Roman" w:cs="Times New Roman"/>
          <w:sz w:val="24"/>
          <w:szCs w:val="24"/>
        </w:rPr>
        <w:t>mekteyiz.</w:t>
      </w:r>
    </w:p>
    <w:p w:rsidR="00690584" w:rsidRPr="001B320E" w:rsidRDefault="00690584" w:rsidP="00E90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65" w:rsidRPr="003C48D8" w:rsidRDefault="00A23300" w:rsidP="00A2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0E">
        <w:rPr>
          <w:rFonts w:ascii="Times New Roman" w:hAnsi="Times New Roman" w:cs="Times New Roman"/>
          <w:sz w:val="24"/>
          <w:szCs w:val="24"/>
        </w:rPr>
        <w:t>Türkiye</w:t>
      </w:r>
      <w:r w:rsidR="001B320E">
        <w:rPr>
          <w:rFonts w:ascii="Times New Roman" w:hAnsi="Times New Roman" w:cs="Times New Roman"/>
          <w:sz w:val="24"/>
          <w:szCs w:val="24"/>
        </w:rPr>
        <w:t>, 2</w:t>
      </w:r>
      <w:r w:rsidR="001B320E" w:rsidRPr="001B320E">
        <w:rPr>
          <w:rFonts w:ascii="Times New Roman" w:hAnsi="Times New Roman" w:cs="Times New Roman"/>
          <w:sz w:val="24"/>
          <w:szCs w:val="24"/>
        </w:rPr>
        <w:t>007-2013 döneminde uygulanan “Hayatboyu Öğrenme ve Gençlik Programları”</w:t>
      </w:r>
      <w:r w:rsidR="008C3FFE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="005130D5">
        <w:rPr>
          <w:rFonts w:ascii="Times New Roman" w:hAnsi="Times New Roman" w:cs="Times New Roman"/>
          <w:sz w:val="24"/>
          <w:szCs w:val="24"/>
        </w:rPr>
        <w:t xml:space="preserve">toplam </w:t>
      </w:r>
      <w:r w:rsidRPr="001B320E">
        <w:rPr>
          <w:rFonts w:ascii="Times New Roman" w:hAnsi="Times New Roman" w:cs="Times New Roman"/>
          <w:b/>
          <w:sz w:val="24"/>
          <w:szCs w:val="24"/>
        </w:rPr>
        <w:t>630 Milyon Avro’luk</w:t>
      </w:r>
      <w:r w:rsidRPr="001B320E">
        <w:rPr>
          <w:rFonts w:ascii="Times New Roman" w:hAnsi="Times New Roman" w:cs="Times New Roman"/>
          <w:sz w:val="24"/>
          <w:szCs w:val="24"/>
        </w:rPr>
        <w:t xml:space="preserve"> bütçeden yararlanmıştır.</w:t>
      </w:r>
      <w:r w:rsidR="00511352">
        <w:rPr>
          <w:rFonts w:ascii="Times New Roman" w:hAnsi="Times New Roman" w:cs="Times New Roman"/>
          <w:sz w:val="24"/>
          <w:szCs w:val="24"/>
        </w:rPr>
        <w:t xml:space="preserve"> </w:t>
      </w:r>
      <w:r w:rsidR="00511352" w:rsidRPr="00511352">
        <w:rPr>
          <w:rFonts w:ascii="Times New Roman" w:hAnsi="Times New Roman" w:cs="Times New Roman"/>
          <w:sz w:val="24"/>
          <w:szCs w:val="24"/>
        </w:rPr>
        <w:t>Söz konusu dönemde kullanılan kaynağın %60’ı AB mali desteği %40 ise ülkemizin katkısı olmuştur.</w:t>
      </w:r>
      <w:r w:rsidR="00511352">
        <w:rPr>
          <w:rFonts w:ascii="Times New Roman" w:hAnsi="Times New Roman" w:cs="Times New Roman"/>
          <w:sz w:val="28"/>
          <w:szCs w:val="28"/>
        </w:rPr>
        <w:t xml:space="preserve"> </w:t>
      </w:r>
      <w:r w:rsidRPr="001B320E">
        <w:rPr>
          <w:rFonts w:ascii="Times New Roman" w:hAnsi="Times New Roman" w:cs="Times New Roman"/>
          <w:sz w:val="24"/>
          <w:szCs w:val="24"/>
        </w:rPr>
        <w:t xml:space="preserve"> </w:t>
      </w:r>
      <w:r w:rsidR="00DF20AA" w:rsidRPr="001B320E">
        <w:rPr>
          <w:rFonts w:ascii="Times New Roman" w:hAnsi="Times New Roman" w:cs="Times New Roman"/>
          <w:sz w:val="24"/>
          <w:szCs w:val="24"/>
        </w:rPr>
        <w:t xml:space="preserve">2014-2020 dönemi için Avrupa Komisyonu ile yürütülen müzakereler sonucunda Türkiye’nin </w:t>
      </w:r>
      <w:r w:rsidR="00DF20AA" w:rsidRPr="001B320E">
        <w:rPr>
          <w:rFonts w:ascii="Times New Roman" w:hAnsi="Times New Roman" w:cs="Times New Roman"/>
          <w:b/>
          <w:sz w:val="24"/>
          <w:szCs w:val="24"/>
        </w:rPr>
        <w:t>933 Milyon Avro’luk</w:t>
      </w:r>
      <w:r w:rsidR="00DF20AA" w:rsidRPr="001B320E">
        <w:rPr>
          <w:rFonts w:ascii="Times New Roman" w:hAnsi="Times New Roman" w:cs="Times New Roman"/>
          <w:sz w:val="24"/>
          <w:szCs w:val="24"/>
        </w:rPr>
        <w:t xml:space="preserve"> bir kaynaktan faydalanması konusunda mutabakat sağlanmıştır. Türkiye’nin bütçesi 2007-2013 döneminde kullandığı kaynak ile kıyaslandığında yaklaşık 300</w:t>
      </w:r>
      <w:r w:rsidR="003C48D8">
        <w:rPr>
          <w:rFonts w:ascii="Times New Roman" w:hAnsi="Times New Roman" w:cs="Times New Roman"/>
          <w:sz w:val="24"/>
          <w:szCs w:val="24"/>
        </w:rPr>
        <w:t xml:space="preserve"> Milyon Avro artış göstermiştir bununla birlikte </w:t>
      </w:r>
      <w:r w:rsidR="003C48D8" w:rsidRPr="00744D1B">
        <w:rPr>
          <w:rFonts w:ascii="Times New Roman" w:hAnsi="Times New Roman" w:cs="Times New Roman"/>
          <w:sz w:val="24"/>
          <w:szCs w:val="24"/>
        </w:rPr>
        <w:t>2014 yılı için Avrupa Komisyonundan gelen bütçenin 123 Milyon Avro olması nedeni ile yükseköğretime ancak 37,1 Milyon Avro kaynak ayrılabilmiştir.</w:t>
      </w:r>
      <w:r w:rsidR="003C48D8">
        <w:rPr>
          <w:rFonts w:ascii="Times New Roman" w:hAnsi="Times New Roman" w:cs="Times New Roman"/>
          <w:sz w:val="24"/>
          <w:szCs w:val="24"/>
        </w:rPr>
        <w:t xml:space="preserve"> </w:t>
      </w:r>
      <w:r w:rsidR="00A90986" w:rsidRPr="00A90986">
        <w:rPr>
          <w:rFonts w:ascii="Times New Roman" w:hAnsi="Times New Roman" w:cs="Times New Roman"/>
          <w:sz w:val="24"/>
          <w:szCs w:val="24"/>
        </w:rPr>
        <w:t>B</w:t>
      </w:r>
      <w:r w:rsidR="00306E65" w:rsidRPr="00A90986">
        <w:rPr>
          <w:rFonts w:ascii="Times New Roman" w:hAnsi="Times New Roman" w:cs="Times New Roman"/>
          <w:sz w:val="24"/>
          <w:szCs w:val="24"/>
        </w:rPr>
        <w:t xml:space="preserve">u </w:t>
      </w:r>
      <w:r w:rsidR="00FA7B4F" w:rsidRPr="00A90986">
        <w:rPr>
          <w:rFonts w:ascii="Times New Roman" w:hAnsi="Times New Roman" w:cs="Times New Roman"/>
          <w:sz w:val="24"/>
          <w:szCs w:val="24"/>
        </w:rPr>
        <w:t>durum</w:t>
      </w:r>
      <w:r w:rsidR="00306E65" w:rsidRPr="00A90986">
        <w:rPr>
          <w:rFonts w:ascii="Times New Roman" w:hAnsi="Times New Roman" w:cs="Times New Roman"/>
          <w:sz w:val="24"/>
          <w:szCs w:val="24"/>
        </w:rPr>
        <w:t xml:space="preserve"> yükseköğretim kurumlarımıza tahsis edilen bütçe</w:t>
      </w:r>
      <w:r w:rsidR="00A90986" w:rsidRPr="00A90986">
        <w:rPr>
          <w:rFonts w:ascii="Times New Roman" w:hAnsi="Times New Roman" w:cs="Times New Roman"/>
          <w:sz w:val="24"/>
          <w:szCs w:val="24"/>
        </w:rPr>
        <w:t>ler</w:t>
      </w:r>
      <w:r w:rsidR="00306E65" w:rsidRPr="00A90986">
        <w:rPr>
          <w:rFonts w:ascii="Times New Roman" w:hAnsi="Times New Roman" w:cs="Times New Roman"/>
          <w:sz w:val="24"/>
          <w:szCs w:val="24"/>
        </w:rPr>
        <w:t>de azalma ile sonuçlanmıştır.</w:t>
      </w:r>
      <w:r w:rsidR="00511352">
        <w:rPr>
          <w:rFonts w:ascii="Times New Roman" w:hAnsi="Times New Roman" w:cs="Times New Roman"/>
          <w:sz w:val="24"/>
          <w:szCs w:val="24"/>
        </w:rPr>
        <w:t xml:space="preserve"> 2014 yılı için sağlanan 123 Milyon Avro’luk bütçenin 57 Milyon Avro’su AB desteği 66 Milyon Avro’su Türkiye katkısıdır. Bu kapsamda basında iddia edildiği üzere Erasmus+ Programı için ülkemizin katkısının azaltıldığı hususu gerçeği yansıtmamaktadır. Bilakis, 2014 yılında Avrupa Komisyonundan gelen kaynağın düşmesinden dolayı yaşanacak mağduriyetin giderilmesi için ülke katkısı artırılmıştır.    </w:t>
      </w:r>
      <w:r w:rsidR="006B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60" w:rsidRDefault="003B1160" w:rsidP="005A4DE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0" w:rsidRDefault="000B0FA9" w:rsidP="000B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A9">
        <w:rPr>
          <w:rFonts w:ascii="Times New Roman" w:hAnsi="Times New Roman" w:cs="Times New Roman"/>
          <w:sz w:val="24"/>
          <w:szCs w:val="24"/>
        </w:rPr>
        <w:t xml:space="preserve">Merkezimiz, </w:t>
      </w:r>
      <w:r w:rsidR="006A2283" w:rsidRPr="000B0FA9">
        <w:rPr>
          <w:rFonts w:ascii="Times New Roman" w:hAnsi="Times New Roman" w:cs="Times New Roman"/>
          <w:sz w:val="24"/>
          <w:szCs w:val="24"/>
        </w:rPr>
        <w:t>2014 yılı</w:t>
      </w:r>
      <w:r w:rsidR="003B1160" w:rsidRPr="000B0FA9">
        <w:rPr>
          <w:rFonts w:ascii="Times New Roman" w:hAnsi="Times New Roman" w:cs="Times New Roman"/>
          <w:sz w:val="24"/>
          <w:szCs w:val="24"/>
        </w:rPr>
        <w:t xml:space="preserve"> için</w:t>
      </w:r>
      <w:r w:rsidR="006A2283" w:rsidRPr="000B0FA9">
        <w:rPr>
          <w:rFonts w:ascii="Times New Roman" w:hAnsi="Times New Roman" w:cs="Times New Roman"/>
          <w:sz w:val="24"/>
          <w:szCs w:val="24"/>
        </w:rPr>
        <w:t xml:space="preserve"> Erasmus+ bütçesinin artırıl</w:t>
      </w:r>
      <w:r w:rsidR="002630DB">
        <w:rPr>
          <w:rFonts w:ascii="Times New Roman" w:hAnsi="Times New Roman" w:cs="Times New Roman"/>
          <w:sz w:val="24"/>
          <w:szCs w:val="24"/>
        </w:rPr>
        <w:t xml:space="preserve">abilmesi </w:t>
      </w:r>
      <w:r w:rsidR="006A2283" w:rsidRPr="000B0FA9">
        <w:rPr>
          <w:rFonts w:ascii="Times New Roman" w:hAnsi="Times New Roman" w:cs="Times New Roman"/>
          <w:sz w:val="24"/>
          <w:szCs w:val="24"/>
        </w:rPr>
        <w:t>için Avrupa Komisyonu ile müzakere</w:t>
      </w:r>
      <w:r>
        <w:rPr>
          <w:rFonts w:ascii="Times New Roman" w:hAnsi="Times New Roman" w:cs="Times New Roman"/>
          <w:sz w:val="24"/>
          <w:szCs w:val="24"/>
        </w:rPr>
        <w:t xml:space="preserve">lere devam etmektedir. </w:t>
      </w:r>
      <w:r w:rsidR="006A2283" w:rsidRPr="000B0FA9">
        <w:rPr>
          <w:rFonts w:ascii="Times New Roman" w:hAnsi="Times New Roman" w:cs="Times New Roman"/>
          <w:sz w:val="24"/>
          <w:szCs w:val="24"/>
        </w:rPr>
        <w:t>Komisyon ile anlaşma sağlandığı takdirde ek kaynağın program bütçesinde kullanılması mümkün olabilecektir.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B2" w:rsidRPr="000B0FA9">
        <w:rPr>
          <w:rFonts w:ascii="Times New Roman" w:hAnsi="Times New Roman" w:cs="Times New Roman"/>
          <w:sz w:val="24"/>
          <w:szCs w:val="24"/>
        </w:rPr>
        <w:t xml:space="preserve">2014-2020 döneminde Erasmus+ Programı kapsamında </w:t>
      </w:r>
      <w:r w:rsidR="00202C90">
        <w:rPr>
          <w:rFonts w:ascii="Times New Roman" w:hAnsi="Times New Roman" w:cs="Times New Roman"/>
          <w:sz w:val="24"/>
          <w:szCs w:val="24"/>
        </w:rPr>
        <w:t>kullanılabilecek bütçenin arttırılması yönünde girişimlerimiz ise devam etmektedir.</w:t>
      </w:r>
    </w:p>
    <w:p w:rsidR="00214499" w:rsidRPr="001B320E" w:rsidRDefault="00214499" w:rsidP="0021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967" w:rsidRPr="001B320E" w:rsidRDefault="00E90967" w:rsidP="004E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0E">
        <w:rPr>
          <w:rFonts w:ascii="Times New Roman" w:hAnsi="Times New Roman" w:cs="Times New Roman"/>
          <w:sz w:val="24"/>
          <w:szCs w:val="24"/>
        </w:rPr>
        <w:t>Bilgilerin</w:t>
      </w:r>
      <w:r w:rsidR="00AE15B2">
        <w:rPr>
          <w:rFonts w:ascii="Times New Roman" w:hAnsi="Times New Roman" w:cs="Times New Roman"/>
          <w:sz w:val="24"/>
          <w:szCs w:val="24"/>
        </w:rPr>
        <w:t xml:space="preserve">ize sunulur. </w:t>
      </w:r>
    </w:p>
    <w:sectPr w:rsidR="00E90967" w:rsidRPr="001B320E" w:rsidSect="007B307F">
      <w:headerReference w:type="default" r:id="rId9"/>
      <w:footerReference w:type="default" r:id="rId10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9F" w:rsidRDefault="00FC5C9F" w:rsidP="00BE2170">
      <w:pPr>
        <w:spacing w:after="0" w:line="240" w:lineRule="auto"/>
      </w:pPr>
      <w:r>
        <w:separator/>
      </w:r>
    </w:p>
  </w:endnote>
  <w:endnote w:type="continuationSeparator" w:id="0">
    <w:p w:rsidR="00FC5C9F" w:rsidRDefault="00FC5C9F" w:rsidP="00BE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89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A08" w:rsidRDefault="00914A0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A08" w:rsidRDefault="00914A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9F" w:rsidRDefault="00FC5C9F" w:rsidP="00BE2170">
      <w:pPr>
        <w:spacing w:after="0" w:line="240" w:lineRule="auto"/>
      </w:pPr>
      <w:r>
        <w:separator/>
      </w:r>
    </w:p>
  </w:footnote>
  <w:footnote w:type="continuationSeparator" w:id="0">
    <w:p w:rsidR="00FC5C9F" w:rsidRDefault="00FC5C9F" w:rsidP="00BE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812"/>
      <w:gridCol w:w="1874"/>
    </w:tblGrid>
    <w:tr w:rsidR="00CB324D" w:rsidRPr="00BE2170" w:rsidTr="00BE2170">
      <w:trPr>
        <w:trHeight w:val="993"/>
        <w:jc w:val="center"/>
      </w:trPr>
      <w:tc>
        <w:tcPr>
          <w:tcW w:w="1526" w:type="dxa"/>
          <w:vAlign w:val="center"/>
        </w:tcPr>
        <w:p w:rsidR="00CB324D" w:rsidRPr="00BE2170" w:rsidRDefault="00CB324D" w:rsidP="00BE21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lang w:val="en-US"/>
            </w:rPr>
          </w:pPr>
          <w:r w:rsidRPr="00BE2170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39C8248" wp14:editId="163EC905">
                <wp:simplePos x="0" y="0"/>
                <wp:positionH relativeFrom="column">
                  <wp:posOffset>105410</wp:posOffset>
                </wp:positionH>
                <wp:positionV relativeFrom="paragraph">
                  <wp:posOffset>-107315</wp:posOffset>
                </wp:positionV>
                <wp:extent cx="626110" cy="557530"/>
                <wp:effectExtent l="0" t="0" r="2540" b="0"/>
                <wp:wrapNone/>
                <wp:docPr id="1" name="Picture 1" descr="C:\Users\rkasapoglu\AppData\Local\Microsoft\Windows\Temporary Internet Files\Content.Outlook\9GONO3OS\ab_bakanligi_yazi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kasapoglu\AppData\Local\Microsoft\Windows\Temporary Internet Files\Content.Outlook\9GONO3OS\ab_bakanligi_yazi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</w:tcPr>
        <w:p w:rsidR="00CB324D" w:rsidRPr="00BE2170" w:rsidRDefault="00CB324D" w:rsidP="00BE2170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val="en-US"/>
            </w:rPr>
          </w:pPr>
          <w:r w:rsidRPr="00BE2170">
            <w:rPr>
              <w:rFonts w:ascii="Arial" w:eastAsia="Calibri" w:hAnsi="Arial" w:cs="Arial"/>
              <w:b/>
              <w:sz w:val="18"/>
              <w:szCs w:val="18"/>
              <w:lang w:val="en-US"/>
            </w:rPr>
            <w:t>T.C.</w:t>
          </w:r>
        </w:p>
        <w:p w:rsidR="00CB324D" w:rsidRPr="00BE2170" w:rsidRDefault="00CB324D" w:rsidP="00BE2170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val="en-US"/>
            </w:rPr>
          </w:pPr>
          <w:r w:rsidRPr="00BE2170">
            <w:rPr>
              <w:rFonts w:ascii="Arial" w:eastAsia="Calibri" w:hAnsi="Arial" w:cs="Arial"/>
              <w:b/>
              <w:sz w:val="18"/>
              <w:szCs w:val="18"/>
              <w:lang w:val="en-US"/>
            </w:rPr>
            <w:t>AVRUPA BİRLİĞİ BAKANLIĞI</w:t>
          </w:r>
        </w:p>
        <w:p w:rsidR="00CB324D" w:rsidRPr="00BE2170" w:rsidRDefault="00CB324D" w:rsidP="00BE2170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18"/>
              <w:szCs w:val="18"/>
              <w:lang w:val="en-US"/>
            </w:rPr>
          </w:pP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Avrupa</w:t>
          </w:r>
          <w:proofErr w:type="spellEnd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Birliği</w:t>
          </w:r>
          <w:proofErr w:type="spellEnd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Eğitim</w:t>
          </w:r>
          <w:proofErr w:type="spellEnd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ve</w:t>
          </w:r>
          <w:proofErr w:type="spellEnd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Gençlik</w:t>
          </w:r>
          <w:proofErr w:type="spellEnd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Programları</w:t>
          </w:r>
          <w:proofErr w:type="spellEnd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Merkezi</w:t>
          </w:r>
          <w:proofErr w:type="spellEnd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BE2170">
            <w:rPr>
              <w:rFonts w:ascii="Arial" w:eastAsia="Calibri" w:hAnsi="Arial" w:cs="Arial"/>
              <w:sz w:val="18"/>
              <w:szCs w:val="18"/>
              <w:lang w:val="en-US"/>
            </w:rPr>
            <w:t>Başkanlığı</w:t>
          </w:r>
          <w:proofErr w:type="spellEnd"/>
        </w:p>
        <w:p w:rsidR="00CB324D" w:rsidRPr="00BE2170" w:rsidRDefault="00CB324D" w:rsidP="00BE2170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val="en-US"/>
            </w:rPr>
          </w:pPr>
          <w:r w:rsidRPr="00BE2170">
            <w:rPr>
              <w:rFonts w:ascii="Arial" w:eastAsia="Calibri" w:hAnsi="Arial" w:cs="Arial"/>
              <w:b/>
              <w:sz w:val="18"/>
              <w:szCs w:val="18"/>
              <w:lang w:val="en-US"/>
            </w:rPr>
            <w:t>TÜRKİYE ULUSAL AJANSI</w:t>
          </w:r>
        </w:p>
        <w:p w:rsidR="00CB324D" w:rsidRPr="00BE2170" w:rsidRDefault="00CB324D" w:rsidP="00BE2170">
          <w:pPr>
            <w:jc w:val="center"/>
            <w:rPr>
              <w:rFonts w:ascii="Calibri" w:eastAsia="Calibri" w:hAnsi="Calibri" w:cs="Times New Roman"/>
              <w:lang w:val="en-US"/>
            </w:rPr>
          </w:pPr>
        </w:p>
      </w:tc>
      <w:tc>
        <w:tcPr>
          <w:tcW w:w="1874" w:type="dxa"/>
          <w:vAlign w:val="center"/>
        </w:tcPr>
        <w:p w:rsidR="00CB324D" w:rsidRPr="00BE2170" w:rsidRDefault="00CB324D" w:rsidP="00BE2170">
          <w:pPr>
            <w:jc w:val="center"/>
            <w:rPr>
              <w:rFonts w:ascii="Calibri" w:eastAsia="Calibri" w:hAnsi="Calibri" w:cs="Times New Roman"/>
              <w:lang w:val="en-US"/>
            </w:rPr>
          </w:pPr>
          <w:r w:rsidRPr="00BE2170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01B27586" wp14:editId="36534BB4">
                <wp:simplePos x="0" y="0"/>
                <wp:positionH relativeFrom="column">
                  <wp:posOffset>3175</wp:posOffset>
                </wp:positionH>
                <wp:positionV relativeFrom="paragraph">
                  <wp:posOffset>-97155</wp:posOffset>
                </wp:positionV>
                <wp:extent cx="1057910" cy="557530"/>
                <wp:effectExtent l="0" t="0" r="8890" b="0"/>
                <wp:wrapNone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55753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B324D" w:rsidRDefault="00CB32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8F"/>
    <w:multiLevelType w:val="hybridMultilevel"/>
    <w:tmpl w:val="BE16F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A25"/>
    <w:multiLevelType w:val="hybridMultilevel"/>
    <w:tmpl w:val="4846F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03847"/>
    <w:multiLevelType w:val="hybridMultilevel"/>
    <w:tmpl w:val="7C006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70"/>
    <w:rsid w:val="000212FB"/>
    <w:rsid w:val="00023681"/>
    <w:rsid w:val="00040F01"/>
    <w:rsid w:val="00042F05"/>
    <w:rsid w:val="0006112C"/>
    <w:rsid w:val="00066D49"/>
    <w:rsid w:val="00096820"/>
    <w:rsid w:val="000A7506"/>
    <w:rsid w:val="000B0FA9"/>
    <w:rsid w:val="000D2E6A"/>
    <w:rsid w:val="000D3131"/>
    <w:rsid w:val="000E48A2"/>
    <w:rsid w:val="00103F7A"/>
    <w:rsid w:val="001114BD"/>
    <w:rsid w:val="001349BC"/>
    <w:rsid w:val="00135886"/>
    <w:rsid w:val="00137982"/>
    <w:rsid w:val="001527D4"/>
    <w:rsid w:val="001730CF"/>
    <w:rsid w:val="00177815"/>
    <w:rsid w:val="001A5413"/>
    <w:rsid w:val="001B320E"/>
    <w:rsid w:val="001E3A02"/>
    <w:rsid w:val="001F08D1"/>
    <w:rsid w:val="001F1A76"/>
    <w:rsid w:val="00202C90"/>
    <w:rsid w:val="00214499"/>
    <w:rsid w:val="002149E9"/>
    <w:rsid w:val="00216832"/>
    <w:rsid w:val="002630DB"/>
    <w:rsid w:val="002664F2"/>
    <w:rsid w:val="002E10F4"/>
    <w:rsid w:val="00306E65"/>
    <w:rsid w:val="00320EFE"/>
    <w:rsid w:val="00351610"/>
    <w:rsid w:val="0035242D"/>
    <w:rsid w:val="003B1160"/>
    <w:rsid w:val="003B26C9"/>
    <w:rsid w:val="003C48D8"/>
    <w:rsid w:val="003D0BFB"/>
    <w:rsid w:val="003D706E"/>
    <w:rsid w:val="00443493"/>
    <w:rsid w:val="00450453"/>
    <w:rsid w:val="00462E54"/>
    <w:rsid w:val="00484A7B"/>
    <w:rsid w:val="0049503E"/>
    <w:rsid w:val="004E3C1C"/>
    <w:rsid w:val="00505879"/>
    <w:rsid w:val="00511352"/>
    <w:rsid w:val="005130D5"/>
    <w:rsid w:val="00540969"/>
    <w:rsid w:val="0056589A"/>
    <w:rsid w:val="005867B2"/>
    <w:rsid w:val="00594C2B"/>
    <w:rsid w:val="005A4DEB"/>
    <w:rsid w:val="005C6B37"/>
    <w:rsid w:val="005F5509"/>
    <w:rsid w:val="00617A8A"/>
    <w:rsid w:val="00621F10"/>
    <w:rsid w:val="0065711C"/>
    <w:rsid w:val="00670C67"/>
    <w:rsid w:val="006731BC"/>
    <w:rsid w:val="00690584"/>
    <w:rsid w:val="00694225"/>
    <w:rsid w:val="006A2283"/>
    <w:rsid w:val="006B4D86"/>
    <w:rsid w:val="00701FFB"/>
    <w:rsid w:val="00702A49"/>
    <w:rsid w:val="00722A0E"/>
    <w:rsid w:val="00722E08"/>
    <w:rsid w:val="00744D1B"/>
    <w:rsid w:val="00777EEE"/>
    <w:rsid w:val="007849F6"/>
    <w:rsid w:val="007B307F"/>
    <w:rsid w:val="007B5535"/>
    <w:rsid w:val="007B65AC"/>
    <w:rsid w:val="007C34CC"/>
    <w:rsid w:val="008172D7"/>
    <w:rsid w:val="00821F76"/>
    <w:rsid w:val="0083035C"/>
    <w:rsid w:val="00841577"/>
    <w:rsid w:val="00873F2A"/>
    <w:rsid w:val="008C3FFE"/>
    <w:rsid w:val="008C4EE7"/>
    <w:rsid w:val="008C703E"/>
    <w:rsid w:val="008D1BA8"/>
    <w:rsid w:val="008D6A8D"/>
    <w:rsid w:val="00907FB4"/>
    <w:rsid w:val="00911ED6"/>
    <w:rsid w:val="0091232F"/>
    <w:rsid w:val="00914A08"/>
    <w:rsid w:val="009233F2"/>
    <w:rsid w:val="00932B1F"/>
    <w:rsid w:val="00951319"/>
    <w:rsid w:val="009F2CB3"/>
    <w:rsid w:val="00A004D2"/>
    <w:rsid w:val="00A17710"/>
    <w:rsid w:val="00A23300"/>
    <w:rsid w:val="00A234FF"/>
    <w:rsid w:val="00A355DB"/>
    <w:rsid w:val="00A605B2"/>
    <w:rsid w:val="00A90986"/>
    <w:rsid w:val="00AC4069"/>
    <w:rsid w:val="00AC5460"/>
    <w:rsid w:val="00AE15B2"/>
    <w:rsid w:val="00AE450A"/>
    <w:rsid w:val="00B44A0F"/>
    <w:rsid w:val="00B8196B"/>
    <w:rsid w:val="00BE2170"/>
    <w:rsid w:val="00BE4192"/>
    <w:rsid w:val="00C0352A"/>
    <w:rsid w:val="00C212A6"/>
    <w:rsid w:val="00C43ACC"/>
    <w:rsid w:val="00C57281"/>
    <w:rsid w:val="00C67ABD"/>
    <w:rsid w:val="00C82A61"/>
    <w:rsid w:val="00CB324D"/>
    <w:rsid w:val="00CC0739"/>
    <w:rsid w:val="00CD5438"/>
    <w:rsid w:val="00CD6A69"/>
    <w:rsid w:val="00CE69F4"/>
    <w:rsid w:val="00CE7E5D"/>
    <w:rsid w:val="00CF28F1"/>
    <w:rsid w:val="00D11C7E"/>
    <w:rsid w:val="00D911FB"/>
    <w:rsid w:val="00D950DE"/>
    <w:rsid w:val="00D95524"/>
    <w:rsid w:val="00DC188D"/>
    <w:rsid w:val="00DD0B10"/>
    <w:rsid w:val="00DF20AA"/>
    <w:rsid w:val="00DF51F3"/>
    <w:rsid w:val="00E2151D"/>
    <w:rsid w:val="00E776EB"/>
    <w:rsid w:val="00E90967"/>
    <w:rsid w:val="00E93041"/>
    <w:rsid w:val="00EB0978"/>
    <w:rsid w:val="00EB69EF"/>
    <w:rsid w:val="00EE0602"/>
    <w:rsid w:val="00F044C2"/>
    <w:rsid w:val="00F529D2"/>
    <w:rsid w:val="00F86DF1"/>
    <w:rsid w:val="00F94AEF"/>
    <w:rsid w:val="00FA65C4"/>
    <w:rsid w:val="00FA7B4F"/>
    <w:rsid w:val="00FB2E9C"/>
    <w:rsid w:val="00FB32B3"/>
    <w:rsid w:val="00FC5C9F"/>
    <w:rsid w:val="00FD6D83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170"/>
  </w:style>
  <w:style w:type="paragraph" w:styleId="Altbilgi">
    <w:name w:val="footer"/>
    <w:basedOn w:val="Normal"/>
    <w:link w:val="AltbilgiChar"/>
    <w:uiPriority w:val="99"/>
    <w:unhideWhenUsed/>
    <w:rsid w:val="00BE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170"/>
  </w:style>
  <w:style w:type="table" w:styleId="TabloKlavuzu">
    <w:name w:val="Table Grid"/>
    <w:basedOn w:val="NormalTablo"/>
    <w:uiPriority w:val="59"/>
    <w:rsid w:val="00BE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170"/>
  </w:style>
  <w:style w:type="paragraph" w:styleId="Altbilgi">
    <w:name w:val="footer"/>
    <w:basedOn w:val="Normal"/>
    <w:link w:val="AltbilgiChar"/>
    <w:uiPriority w:val="99"/>
    <w:unhideWhenUsed/>
    <w:rsid w:val="00BE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170"/>
  </w:style>
  <w:style w:type="table" w:styleId="TabloKlavuzu">
    <w:name w:val="Table Grid"/>
    <w:basedOn w:val="NormalTablo"/>
    <w:uiPriority w:val="59"/>
    <w:rsid w:val="00BE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943C-65B5-4BA8-8168-DD271763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Bülent Özcan</dc:creator>
  <cp:lastModifiedBy>Çağrı</cp:lastModifiedBy>
  <cp:revision>2</cp:revision>
  <cp:lastPrinted>2014-06-18T10:55:00Z</cp:lastPrinted>
  <dcterms:created xsi:type="dcterms:W3CDTF">2014-08-06T08:12:00Z</dcterms:created>
  <dcterms:modified xsi:type="dcterms:W3CDTF">2014-08-06T08:12:00Z</dcterms:modified>
</cp:coreProperties>
</file>