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85" w:rsidRDefault="00861585" w:rsidP="00861585">
      <w:pPr>
        <w:spacing w:after="12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61585" w:rsidRPr="007E4724" w:rsidRDefault="00861585" w:rsidP="00FC3E66">
      <w:pPr>
        <w:spacing w:after="120" w:line="360" w:lineRule="auto"/>
        <w:ind w:firstLine="709"/>
        <w:jc w:val="center"/>
        <w:rPr>
          <w:rFonts w:cs="Calibri"/>
          <w:b/>
          <w:color w:val="C00000"/>
          <w:sz w:val="28"/>
          <w:szCs w:val="28"/>
        </w:rPr>
      </w:pPr>
      <w:r w:rsidRPr="007E4724">
        <w:rPr>
          <w:rFonts w:cs="Calibri"/>
          <w:b/>
          <w:color w:val="C00000"/>
          <w:sz w:val="28"/>
          <w:szCs w:val="28"/>
        </w:rPr>
        <w:t>1.ÖĞRENİM PROTOKOLÜNÜN HAZIRLANMASI</w:t>
      </w:r>
    </w:p>
    <w:p w:rsidR="00861585" w:rsidRPr="00ED0689" w:rsidRDefault="00861585" w:rsidP="00861585">
      <w:pPr>
        <w:spacing w:after="12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61585" w:rsidRPr="00ED0689" w:rsidRDefault="00861585" w:rsidP="00861585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0689">
        <w:rPr>
          <w:rFonts w:ascii="Times New Roman" w:hAnsi="Times New Roman"/>
          <w:color w:val="000000"/>
          <w:sz w:val="24"/>
          <w:szCs w:val="24"/>
        </w:rPr>
        <w:t>Yönetmelik hükümlerine uygun olarak bir Öğrenim Protokolü hazırlamak için, aşağıdaki işlem basamakları takip edilebilir:</w:t>
      </w:r>
    </w:p>
    <w:p w:rsidR="00861585" w:rsidRPr="002668CA" w:rsidRDefault="00861585" w:rsidP="00861585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0689">
        <w:rPr>
          <w:rFonts w:ascii="Times New Roman" w:hAnsi="Times New Roman"/>
          <w:color w:val="000000"/>
          <w:sz w:val="24"/>
          <w:szCs w:val="24"/>
        </w:rPr>
        <w:t xml:space="preserve">Öğrencinin </w:t>
      </w:r>
      <w:r>
        <w:rPr>
          <w:rFonts w:ascii="Times New Roman" w:hAnsi="Times New Roman"/>
          <w:color w:val="000000"/>
          <w:sz w:val="24"/>
          <w:szCs w:val="24"/>
        </w:rPr>
        <w:t>kendi üniversitesinde</w:t>
      </w:r>
      <w:r w:rsidRPr="00ED0689">
        <w:rPr>
          <w:rFonts w:ascii="Times New Roman" w:hAnsi="Times New Roman"/>
          <w:color w:val="000000"/>
          <w:sz w:val="24"/>
          <w:szCs w:val="24"/>
        </w:rPr>
        <w:t xml:space="preserve"> öğrenimine devamı durumunda almakla yükümlü olduğu dersler ve kredileri, Ö</w:t>
      </w:r>
      <w:r>
        <w:rPr>
          <w:rFonts w:ascii="Times New Roman" w:hAnsi="Times New Roman"/>
          <w:color w:val="000000"/>
          <w:sz w:val="24"/>
          <w:szCs w:val="24"/>
        </w:rPr>
        <w:t xml:space="preserve">ğrenim </w:t>
      </w:r>
      <w:r w:rsidRPr="00ED0689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rotokolünde</w:t>
      </w:r>
      <w:r w:rsidRPr="00ED06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8CA">
        <w:rPr>
          <w:rFonts w:ascii="Times New Roman" w:hAnsi="Times New Roman"/>
          <w:color w:val="FF0000"/>
          <w:sz w:val="24"/>
          <w:szCs w:val="24"/>
        </w:rPr>
        <w:t>“</w:t>
      </w:r>
      <w:r w:rsidRPr="005A39C7">
        <w:rPr>
          <w:rFonts w:ascii="Times New Roman" w:hAnsi="Times New Roman"/>
          <w:b/>
          <w:color w:val="FF0000"/>
          <w:sz w:val="24"/>
          <w:szCs w:val="24"/>
        </w:rPr>
        <w:t>Sayılacak Dersler</w:t>
      </w:r>
      <w:r w:rsidRPr="002668CA">
        <w:rPr>
          <w:rFonts w:ascii="Times New Roman" w:hAnsi="Times New Roman"/>
          <w:b/>
          <w:i/>
          <w:color w:val="FF0000"/>
          <w:sz w:val="24"/>
          <w:szCs w:val="24"/>
        </w:rPr>
        <w:t>”</w:t>
      </w:r>
      <w:r w:rsidRPr="00ED0689">
        <w:rPr>
          <w:rFonts w:ascii="Times New Roman" w:hAnsi="Times New Roman"/>
          <w:color w:val="000000"/>
          <w:sz w:val="24"/>
          <w:szCs w:val="24"/>
        </w:rPr>
        <w:t xml:space="preserve"> sütununa yazılır. Derslerin belirlenmesinde, </w:t>
      </w:r>
      <w:r w:rsidRPr="002668CA">
        <w:rPr>
          <w:rFonts w:ascii="Times New Roman" w:hAnsi="Times New Roman"/>
          <w:b/>
          <w:color w:val="000000"/>
          <w:sz w:val="24"/>
          <w:szCs w:val="24"/>
        </w:rPr>
        <w:t>alttan gereken dersler varsa, bunlara öncelik verilmelidir.</w:t>
      </w:r>
    </w:p>
    <w:p w:rsidR="00861585" w:rsidRPr="00ED0689" w:rsidRDefault="00861585" w:rsidP="00861585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0689">
        <w:rPr>
          <w:rFonts w:ascii="Times New Roman" w:hAnsi="Times New Roman"/>
          <w:color w:val="000000"/>
          <w:sz w:val="24"/>
          <w:szCs w:val="24"/>
        </w:rPr>
        <w:t xml:space="preserve">Sayılacak derslerin karşılığı olan, </w:t>
      </w:r>
      <w:r>
        <w:rPr>
          <w:rFonts w:ascii="Times New Roman" w:hAnsi="Times New Roman"/>
          <w:color w:val="000000"/>
          <w:sz w:val="24"/>
          <w:szCs w:val="24"/>
        </w:rPr>
        <w:t>gideceği</w:t>
      </w:r>
      <w:r w:rsidRPr="00ED0689">
        <w:rPr>
          <w:rFonts w:ascii="Times New Roman" w:hAnsi="Times New Roman"/>
          <w:color w:val="000000"/>
          <w:sz w:val="24"/>
          <w:szCs w:val="24"/>
        </w:rPr>
        <w:t xml:space="preserve"> yükseköğretim kurumundaki dersler ve kredileri belirlenir ve bu dersler Ö</w:t>
      </w:r>
      <w:r>
        <w:rPr>
          <w:rFonts w:ascii="Times New Roman" w:hAnsi="Times New Roman"/>
          <w:color w:val="000000"/>
          <w:sz w:val="24"/>
          <w:szCs w:val="24"/>
        </w:rPr>
        <w:t xml:space="preserve">ğrenim </w:t>
      </w:r>
      <w:r w:rsidRPr="00ED0689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rotokolünde</w:t>
      </w:r>
      <w:r w:rsidRPr="00ED0689">
        <w:rPr>
          <w:rFonts w:ascii="Times New Roman" w:hAnsi="Times New Roman"/>
          <w:color w:val="000000"/>
          <w:sz w:val="24"/>
          <w:szCs w:val="24"/>
        </w:rPr>
        <w:t xml:space="preserve"> “</w:t>
      </w:r>
      <w:r w:rsidRPr="005A39C7">
        <w:rPr>
          <w:rFonts w:ascii="Times New Roman" w:hAnsi="Times New Roman"/>
          <w:b/>
          <w:color w:val="FF0000"/>
          <w:sz w:val="24"/>
          <w:szCs w:val="24"/>
        </w:rPr>
        <w:t>Alınacak Dersler</w:t>
      </w:r>
      <w:r w:rsidRPr="005A39C7">
        <w:rPr>
          <w:rFonts w:ascii="Times New Roman" w:hAnsi="Times New Roman"/>
          <w:color w:val="FF0000"/>
          <w:sz w:val="24"/>
          <w:szCs w:val="24"/>
        </w:rPr>
        <w:t>”</w:t>
      </w:r>
      <w:r w:rsidRPr="00ED0689">
        <w:rPr>
          <w:rFonts w:ascii="Times New Roman" w:hAnsi="Times New Roman"/>
          <w:color w:val="000000"/>
          <w:sz w:val="24"/>
          <w:szCs w:val="24"/>
        </w:rPr>
        <w:t xml:space="preserve"> sütununa yazılır. </w:t>
      </w:r>
      <w:r w:rsidRPr="005A39C7">
        <w:rPr>
          <w:rFonts w:ascii="Times New Roman" w:hAnsi="Times New Roman"/>
          <w:b/>
          <w:color w:val="FF0000"/>
          <w:sz w:val="24"/>
          <w:szCs w:val="24"/>
        </w:rPr>
        <w:t>Alınacak dersler</w:t>
      </w:r>
      <w:r w:rsidRPr="00ED0689">
        <w:rPr>
          <w:rFonts w:ascii="Times New Roman" w:hAnsi="Times New Roman"/>
          <w:color w:val="000000"/>
          <w:sz w:val="24"/>
          <w:szCs w:val="24"/>
        </w:rPr>
        <w:t>, gidilen yükseköğretim kurumunda alttan-üstten seçilmiş olabilir.</w:t>
      </w:r>
    </w:p>
    <w:p w:rsidR="00861585" w:rsidRDefault="00861585" w:rsidP="00861585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668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Gidilen üniversitede ( Alınacak Dersler ) alacağı derslerin toplam kredisi</w:t>
      </w:r>
      <w:r w:rsidRPr="002668CA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kendi üniversitesinin</w:t>
      </w:r>
      <w:r w:rsidRPr="002668CA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(Sayılacak Dersler ) </w:t>
      </w:r>
      <w:r w:rsidRPr="002668CA">
        <w:rPr>
          <w:rFonts w:ascii="Times New Roman" w:hAnsi="Times New Roman"/>
          <w:color w:val="FF0000"/>
          <w:sz w:val="24"/>
          <w:szCs w:val="24"/>
        </w:rPr>
        <w:t xml:space="preserve">toplam kredisinden düşük </w:t>
      </w:r>
      <w:r>
        <w:rPr>
          <w:rFonts w:ascii="Times New Roman" w:hAnsi="Times New Roman"/>
          <w:color w:val="FF0000"/>
          <w:sz w:val="24"/>
          <w:szCs w:val="24"/>
        </w:rPr>
        <w:t>olamaz ve</w:t>
      </w:r>
      <w:r w:rsidRPr="002668C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BookmanOldStyle,Bold" w:hAnsi="Times New Roman"/>
          <w:b/>
          <w:bCs/>
          <w:color w:val="FF0000"/>
          <w:sz w:val="23"/>
          <w:szCs w:val="23"/>
          <w:lang w:eastAsia="tr-TR"/>
        </w:rPr>
        <w:t>d</w:t>
      </w:r>
      <w:r w:rsidRPr="0062515B">
        <w:rPr>
          <w:rFonts w:ascii="Times New Roman" w:eastAsia="BookmanOldStyle,Bold" w:hAnsi="Times New Roman"/>
          <w:b/>
          <w:bCs/>
          <w:color w:val="FF0000"/>
          <w:sz w:val="23"/>
          <w:szCs w:val="23"/>
          <w:lang w:eastAsia="tr-TR"/>
        </w:rPr>
        <w:t>erslerde tek tek kredi denkliği aranmaz</w:t>
      </w:r>
      <w:r>
        <w:rPr>
          <w:rFonts w:ascii="Times New Roman" w:eastAsia="BookmanOldStyle,Bold" w:hAnsi="Times New Roman"/>
          <w:b/>
          <w:bCs/>
          <w:color w:val="FF0000"/>
          <w:sz w:val="23"/>
          <w:szCs w:val="23"/>
          <w:lang w:eastAsia="tr-TR"/>
        </w:rPr>
        <w:t>.</w:t>
      </w:r>
      <w:r w:rsidRPr="002668C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 w:rsidRPr="002668CA">
        <w:rPr>
          <w:rFonts w:ascii="Times New Roman" w:hAnsi="Times New Roman"/>
          <w:color w:val="000000"/>
          <w:sz w:val="24"/>
          <w:szCs w:val="24"/>
        </w:rPr>
        <w:t>unun için, seçmeli dersler Öğrenim Protokolü’ne eklenebilir.</w:t>
      </w:r>
      <w:r w:rsidRPr="002668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D</w:t>
      </w:r>
      <w:r w:rsidRPr="00C62C90">
        <w:rPr>
          <w:rFonts w:ascii="Times New Roman" w:hAnsi="Times New Roman"/>
          <w:b/>
          <w:color w:val="000000"/>
          <w:sz w:val="24"/>
          <w:szCs w:val="24"/>
        </w:rPr>
        <w:t>ersler, öğrencinin daha önce kendi kur</w:t>
      </w:r>
      <w:r>
        <w:rPr>
          <w:rFonts w:ascii="Times New Roman" w:hAnsi="Times New Roman"/>
          <w:b/>
          <w:color w:val="000000"/>
          <w:sz w:val="24"/>
          <w:szCs w:val="24"/>
        </w:rPr>
        <w:t>umunda takip ettiği ve başarılı olduğu</w:t>
      </w:r>
      <w:r w:rsidRPr="00C62C90">
        <w:rPr>
          <w:rFonts w:ascii="Times New Roman" w:hAnsi="Times New Roman"/>
          <w:b/>
          <w:color w:val="000000"/>
          <w:sz w:val="24"/>
          <w:szCs w:val="24"/>
        </w:rPr>
        <w:t xml:space="preserve"> dersler olamaz.</w:t>
      </w:r>
    </w:p>
    <w:p w:rsidR="00861585" w:rsidRPr="00AC2746" w:rsidRDefault="00861585" w:rsidP="00861585">
      <w:pP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1585" w:rsidRPr="00AC2746" w:rsidRDefault="00861585" w:rsidP="00861585">
      <w:pPr>
        <w:spacing w:after="120" w:line="360" w:lineRule="auto"/>
        <w:ind w:firstLine="709"/>
        <w:jc w:val="both"/>
        <w:rPr>
          <w:rFonts w:cs="Calibri"/>
          <w:b/>
          <w:color w:val="FF0000"/>
          <w:sz w:val="24"/>
          <w:szCs w:val="24"/>
        </w:rPr>
      </w:pPr>
      <w:r w:rsidRPr="00AC2746">
        <w:rPr>
          <w:rFonts w:cs="Calibri"/>
          <w:b/>
          <w:color w:val="FF0000"/>
          <w:sz w:val="24"/>
          <w:szCs w:val="24"/>
        </w:rPr>
        <w:t>Öğrenim Protokolünün Hazırlanmasında Dikkat Edilmesi Gereken Hususlar</w:t>
      </w:r>
    </w:p>
    <w:p w:rsidR="00861585" w:rsidRPr="00ED0689" w:rsidRDefault="00861585" w:rsidP="00861585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0689">
        <w:rPr>
          <w:rFonts w:ascii="Times New Roman" w:hAnsi="Times New Roman"/>
          <w:color w:val="000000"/>
          <w:sz w:val="24"/>
          <w:szCs w:val="24"/>
        </w:rPr>
        <w:t>Öğrencilerin, Öğrenim Protokolü nedeniyle herhangi bir hak kaybına uğramamaları için, aşağıda belirtilen hususlara dikkat etmesi gerekir.</w:t>
      </w:r>
    </w:p>
    <w:p w:rsidR="00861585" w:rsidRPr="0068214E" w:rsidRDefault="00861585" w:rsidP="00861585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0689">
        <w:rPr>
          <w:rFonts w:ascii="Times New Roman" w:hAnsi="Times New Roman"/>
          <w:color w:val="000000"/>
          <w:sz w:val="24"/>
          <w:szCs w:val="24"/>
        </w:rPr>
        <w:t xml:space="preserve">Öğrenim Protokolündeki </w:t>
      </w:r>
      <w:r w:rsidRPr="0068214E">
        <w:rPr>
          <w:rFonts w:ascii="Times New Roman" w:hAnsi="Times New Roman"/>
          <w:color w:val="FF0000"/>
          <w:sz w:val="24"/>
          <w:szCs w:val="24"/>
        </w:rPr>
        <w:t>sayılacak dersler</w:t>
      </w:r>
      <w:r w:rsidRPr="00ED068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8214E">
        <w:rPr>
          <w:rFonts w:ascii="Times New Roman" w:hAnsi="Times New Roman"/>
          <w:color w:val="FF0000"/>
          <w:sz w:val="24"/>
          <w:szCs w:val="24"/>
        </w:rPr>
        <w:t>alınacak derslerle</w:t>
      </w:r>
      <w:r w:rsidRPr="00ED0689">
        <w:rPr>
          <w:rFonts w:ascii="Times New Roman" w:hAnsi="Times New Roman"/>
          <w:color w:val="000000"/>
          <w:sz w:val="24"/>
          <w:szCs w:val="24"/>
        </w:rPr>
        <w:t xml:space="preserve"> eşleştirilmelidir. Protokolde, eşleşmemiş ders kalmamalıdır. Öğrencinin dönem sonundaki başarı oranının hesaplanması, alınacak derslerden hangilerinden geçti/kaldığı durumda, sayılacak derslerden hangilerinden geçti/kaldığının sayılacağı açık olarak belirtilmesi için bu şarttır. Öğrenci, Farabi öğrencisi olarak öğrenime başlamadan önce, bunu bilmek durumundadır.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14E">
        <w:rPr>
          <w:rFonts w:ascii="Times New Roman" w:hAnsi="Times New Roman"/>
          <w:color w:val="000000"/>
          <w:sz w:val="24"/>
          <w:szCs w:val="24"/>
        </w:rPr>
        <w:t>Öğrenim Protokolünde bir dersin bir derse eşleştirilmesi zorunlu değildir. Birden fazla ders bir derse eşleştirilebileceği gibi, bir ders birden fazla dersle de eşleştirilebilir.</w:t>
      </w:r>
    </w:p>
    <w:p w:rsidR="00861585" w:rsidRPr="00ED0689" w:rsidRDefault="00861585" w:rsidP="00861585">
      <w:pPr>
        <w:spacing w:after="12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***</w:t>
      </w:r>
      <w:r w:rsidRPr="00ED0689">
        <w:rPr>
          <w:rFonts w:ascii="Times New Roman" w:hAnsi="Times New Roman"/>
          <w:color w:val="000000"/>
          <w:sz w:val="24"/>
          <w:szCs w:val="24"/>
        </w:rPr>
        <w:t>Hangi derslerin hangi derslerle eşleştirildiği açık olarak belirtilmeli ve açıkta ders kalmamalıdır.</w:t>
      </w:r>
    </w:p>
    <w:p w:rsidR="00861585" w:rsidRPr="00861585" w:rsidRDefault="00861585" w:rsidP="00861585">
      <w:pPr>
        <w:spacing w:after="0" w:line="36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3E66" w:rsidRDefault="00FC3E66" w:rsidP="00861585">
      <w:pPr>
        <w:spacing w:after="0" w:line="36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3E66" w:rsidRDefault="00FC3E66" w:rsidP="00861585">
      <w:pPr>
        <w:spacing w:after="0" w:line="36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3E66" w:rsidRDefault="00FC3E66" w:rsidP="00861585">
      <w:pPr>
        <w:spacing w:after="0" w:line="36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3E66" w:rsidRDefault="00FC3E66" w:rsidP="00861585">
      <w:pPr>
        <w:spacing w:after="0" w:line="36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61585" w:rsidRPr="00861585" w:rsidRDefault="00861585" w:rsidP="00861585">
      <w:pPr>
        <w:spacing w:after="0" w:line="36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61585">
        <w:rPr>
          <w:rFonts w:ascii="Times New Roman" w:hAnsi="Times New Roman"/>
          <w:b/>
          <w:color w:val="000000"/>
          <w:sz w:val="24"/>
          <w:szCs w:val="24"/>
        </w:rPr>
        <w:lastRenderedPageBreak/>
        <w:t>ÖRNEK 1:</w:t>
      </w:r>
      <w:r w:rsidRPr="008615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1585">
        <w:rPr>
          <w:rFonts w:ascii="Times New Roman" w:hAnsi="Times New Roman"/>
          <w:b/>
          <w:color w:val="FF0000"/>
          <w:sz w:val="24"/>
          <w:szCs w:val="24"/>
        </w:rPr>
        <w:t>Hatalı protokol örneği</w:t>
      </w:r>
      <w:r w:rsidRPr="0086158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61585" w:rsidRPr="00ED0689" w:rsidRDefault="00861585" w:rsidP="00861585">
      <w:pPr>
        <w:spacing w:after="0" w:line="360" w:lineRule="auto"/>
        <w:ind w:left="709"/>
        <w:jc w:val="both"/>
        <w:rPr>
          <w:rFonts w:ascii="Times New Roman" w:hAnsi="Times New Roman"/>
          <w:color w:val="000000"/>
        </w:rPr>
      </w:pPr>
      <w:r w:rsidRPr="00ED0689">
        <w:rPr>
          <w:rFonts w:ascii="Times New Roman" w:hAnsi="Times New Roman"/>
          <w:color w:val="000000"/>
        </w:rPr>
        <w:t>(bir öğrenci tarafından hazırlanarak karşı üniversiteye gönderilmiş gerçek protokol örneğidir)</w:t>
      </w:r>
    </w:p>
    <w:tbl>
      <w:tblPr>
        <w:tblW w:w="8007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459"/>
        <w:gridCol w:w="744"/>
        <w:gridCol w:w="1843"/>
        <w:gridCol w:w="709"/>
        <w:gridCol w:w="709"/>
        <w:gridCol w:w="2693"/>
        <w:gridCol w:w="850"/>
      </w:tblGrid>
      <w:tr w:rsidR="00861585" w:rsidRPr="004C1035" w:rsidTr="00FB7EA3">
        <w:trPr>
          <w:trHeight w:val="194"/>
          <w:jc w:val="center"/>
        </w:trPr>
        <w:tc>
          <w:tcPr>
            <w:tcW w:w="45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Kabul Eden Üniversitede</w:t>
            </w:r>
          </w:p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C1035">
              <w:rPr>
                <w:rFonts w:ascii="Times New Roman" w:hAnsi="Times New Roman"/>
                <w:b/>
                <w:bCs/>
                <w:color w:val="FF0000"/>
              </w:rPr>
              <w:t>Alınacak Dersler</w:t>
            </w:r>
          </w:p>
        </w:tc>
        <w:tc>
          <w:tcPr>
            <w:tcW w:w="4252" w:type="dxa"/>
            <w:gridSpan w:val="3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Gönderen Üniversitede</w:t>
            </w:r>
          </w:p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C1035">
              <w:rPr>
                <w:rFonts w:ascii="Times New Roman" w:hAnsi="Times New Roman"/>
                <w:b/>
                <w:bCs/>
                <w:color w:val="FF0000"/>
              </w:rPr>
              <w:t>Sayılacak Dersler</w:t>
            </w:r>
          </w:p>
        </w:tc>
      </w:tr>
      <w:tr w:rsidR="00861585" w:rsidRPr="004C1035" w:rsidTr="00FB7EA3">
        <w:trPr>
          <w:trHeight w:val="159"/>
          <w:jc w:val="center"/>
        </w:trPr>
        <w:tc>
          <w:tcPr>
            <w:tcW w:w="459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Kodu</w:t>
            </w:r>
            <w:r w:rsidRPr="004C1035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Dersin Adı</w:t>
            </w:r>
            <w:r w:rsidRPr="004C1035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Kredi</w:t>
            </w:r>
            <w:r w:rsidRPr="004C1035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Kodu</w:t>
            </w:r>
            <w:r w:rsidRPr="004C1035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Dersin Adı</w:t>
            </w:r>
            <w:r w:rsidRPr="004C1035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Kredi</w:t>
            </w:r>
            <w:r w:rsidRPr="004C1035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</w:p>
        </w:tc>
      </w:tr>
      <w:tr w:rsidR="00861585" w:rsidRPr="004C1035" w:rsidTr="00FB7EA3">
        <w:trPr>
          <w:trHeight w:val="159"/>
          <w:jc w:val="center"/>
        </w:trPr>
        <w:tc>
          <w:tcPr>
            <w:tcW w:w="459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 xml:space="preserve">M202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 xml:space="preserve">Analiz I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202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 xml:space="preserve">Analiz I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</w:tr>
      <w:tr w:rsidR="00861585" w:rsidRPr="004C1035" w:rsidTr="00FB7EA3">
        <w:trPr>
          <w:trHeight w:val="159"/>
          <w:jc w:val="center"/>
        </w:trPr>
        <w:tc>
          <w:tcPr>
            <w:tcW w:w="4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 xml:space="preserve">M203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 xml:space="preserve">Kompleks Analiz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203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 xml:space="preserve">Kompleks Analiz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</w:tr>
      <w:tr w:rsidR="00861585" w:rsidRPr="004C1035" w:rsidTr="00FB7EA3">
        <w:trPr>
          <w:trHeight w:val="159"/>
          <w:jc w:val="center"/>
        </w:trPr>
        <w:tc>
          <w:tcPr>
            <w:tcW w:w="4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 xml:space="preserve">Seçmeli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 xml:space="preserve">Seçmeli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</w:tr>
      <w:tr w:rsidR="00861585" w:rsidRPr="004C1035" w:rsidTr="00FB7EA3">
        <w:trPr>
          <w:trHeight w:val="159"/>
          <w:jc w:val="center"/>
        </w:trPr>
        <w:tc>
          <w:tcPr>
            <w:tcW w:w="4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 xml:space="preserve">Seçmeli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 xml:space="preserve">Seçmeli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</w:tr>
      <w:tr w:rsidR="00861585" w:rsidRPr="004C1035" w:rsidTr="00FB7EA3">
        <w:trPr>
          <w:trHeight w:val="159"/>
          <w:jc w:val="center"/>
        </w:trPr>
        <w:tc>
          <w:tcPr>
            <w:tcW w:w="4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 xml:space="preserve">Seçmeli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Seçmeli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861585" w:rsidRPr="004C1035" w:rsidTr="00FB7EA3">
        <w:trPr>
          <w:trHeight w:val="159"/>
          <w:jc w:val="center"/>
        </w:trPr>
        <w:tc>
          <w:tcPr>
            <w:tcW w:w="4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 xml:space="preserve">Seçmeli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1585" w:rsidRPr="004C1035" w:rsidTr="00FB7EA3">
        <w:trPr>
          <w:trHeight w:val="159"/>
          <w:jc w:val="center"/>
        </w:trPr>
        <w:tc>
          <w:tcPr>
            <w:tcW w:w="4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 xml:space="preserve">Seçmeli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1585" w:rsidRPr="004C1035" w:rsidTr="00FB7EA3">
        <w:trPr>
          <w:trHeight w:val="212"/>
          <w:jc w:val="center"/>
        </w:trPr>
        <w:tc>
          <w:tcPr>
            <w:tcW w:w="459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C1035">
              <w:rPr>
                <w:rFonts w:ascii="Times New Roman" w:hAnsi="Times New Roman"/>
                <w:b/>
                <w:bCs/>
                <w:color w:val="000000"/>
              </w:rPr>
              <w:t>Toplam Kredi</w:t>
            </w:r>
            <w:r w:rsidRPr="004C1035">
              <w:rPr>
                <w:rFonts w:ascii="Times New Roman" w:hAnsi="Times New Roman"/>
                <w:b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C1035">
              <w:rPr>
                <w:rFonts w:ascii="Times New Roman" w:hAnsi="Times New Roman"/>
                <w:b/>
                <w:bCs/>
                <w:color w:val="000000"/>
              </w:rPr>
              <w:t>17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C1035">
              <w:rPr>
                <w:rFonts w:ascii="Times New Roman" w:hAnsi="Times New Roman"/>
                <w:b/>
                <w:bCs/>
                <w:color w:val="000000"/>
              </w:rPr>
              <w:t>Toplam Kredi</w:t>
            </w:r>
            <w:r w:rsidRPr="004C1035">
              <w:rPr>
                <w:rFonts w:ascii="Times New Roman" w:hAnsi="Times New Roman"/>
                <w:b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C1035">
              <w:rPr>
                <w:rFonts w:ascii="Times New Roman" w:hAnsi="Times New Roman"/>
                <w:b/>
                <w:bCs/>
                <w:color w:val="000000"/>
              </w:rPr>
              <w:t>17</w:t>
            </w:r>
          </w:p>
        </w:tc>
      </w:tr>
    </w:tbl>
    <w:p w:rsidR="00861585" w:rsidRPr="00ED0689" w:rsidRDefault="00861585" w:rsidP="00861585">
      <w:pPr>
        <w:spacing w:after="12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1585" w:rsidRDefault="00861585" w:rsidP="00861585">
      <w:pPr>
        <w:spacing w:after="12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0689">
        <w:rPr>
          <w:rFonts w:ascii="Times New Roman" w:hAnsi="Times New Roman"/>
          <w:color w:val="000000"/>
          <w:sz w:val="24"/>
          <w:szCs w:val="24"/>
        </w:rPr>
        <w:t>Bu Ö</w:t>
      </w:r>
      <w:r>
        <w:rPr>
          <w:rFonts w:ascii="Times New Roman" w:hAnsi="Times New Roman"/>
          <w:color w:val="000000"/>
          <w:sz w:val="24"/>
          <w:szCs w:val="24"/>
        </w:rPr>
        <w:t xml:space="preserve">ğrenim </w:t>
      </w:r>
      <w:r w:rsidRPr="00ED0689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rotokolü’nde</w:t>
      </w:r>
      <w:r w:rsidRPr="00ED0689">
        <w:rPr>
          <w:rFonts w:ascii="Times New Roman" w:hAnsi="Times New Roman"/>
          <w:color w:val="000000"/>
          <w:sz w:val="24"/>
          <w:szCs w:val="24"/>
        </w:rPr>
        <w:t xml:space="preserve">, toplam krediler uygun olmasına rağmen, öğrencinin seçmeli derslerden birinden kalması durumunda, hangi seçmeli dersten kalmış sayılacağı belli değildir. </w:t>
      </w:r>
    </w:p>
    <w:p w:rsidR="00861585" w:rsidRPr="00861585" w:rsidRDefault="00861585" w:rsidP="00861585">
      <w:pPr>
        <w:spacing w:after="12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1585" w:rsidRPr="00861585" w:rsidRDefault="00861585" w:rsidP="00861585">
      <w:pPr>
        <w:spacing w:after="12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1585">
        <w:rPr>
          <w:rFonts w:ascii="Times New Roman" w:hAnsi="Times New Roman"/>
          <w:b/>
          <w:color w:val="000000"/>
          <w:sz w:val="24"/>
          <w:szCs w:val="24"/>
        </w:rPr>
        <w:t>ÖRNEK 2:</w:t>
      </w:r>
      <w:r w:rsidRPr="008615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1585">
        <w:rPr>
          <w:rFonts w:ascii="Times New Roman" w:hAnsi="Times New Roman"/>
          <w:b/>
          <w:color w:val="FF0000"/>
          <w:sz w:val="24"/>
          <w:szCs w:val="24"/>
        </w:rPr>
        <w:t>Doğru protokol örneği</w:t>
      </w:r>
    </w:p>
    <w:tbl>
      <w:tblPr>
        <w:tblW w:w="8007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459"/>
        <w:gridCol w:w="744"/>
        <w:gridCol w:w="1843"/>
        <w:gridCol w:w="709"/>
        <w:gridCol w:w="709"/>
        <w:gridCol w:w="2693"/>
        <w:gridCol w:w="850"/>
      </w:tblGrid>
      <w:tr w:rsidR="00861585" w:rsidRPr="00ED0689" w:rsidTr="00FB7EA3">
        <w:trPr>
          <w:trHeight w:val="194"/>
          <w:jc w:val="center"/>
        </w:trPr>
        <w:tc>
          <w:tcPr>
            <w:tcW w:w="45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gridSpan w:val="3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Kabul Eden</w:t>
            </w: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Üniversitede</w:t>
            </w:r>
          </w:p>
          <w:p w:rsidR="00861585" w:rsidRPr="00450BF2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50BF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Alınacak Dersler</w:t>
            </w:r>
          </w:p>
        </w:tc>
        <w:tc>
          <w:tcPr>
            <w:tcW w:w="4252" w:type="dxa"/>
            <w:gridSpan w:val="3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Gönderen Üniversitede</w:t>
            </w:r>
          </w:p>
          <w:p w:rsidR="00861585" w:rsidRPr="00450BF2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50BF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Sayılacak Dersler</w:t>
            </w:r>
          </w:p>
        </w:tc>
      </w:tr>
      <w:tr w:rsidR="00861585" w:rsidRPr="00ED0689" w:rsidTr="00FB7EA3">
        <w:trPr>
          <w:trHeight w:val="159"/>
          <w:jc w:val="center"/>
        </w:trPr>
        <w:tc>
          <w:tcPr>
            <w:tcW w:w="459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Kodu</w:t>
            </w: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Dersin Adı</w:t>
            </w: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Kredi</w:t>
            </w: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Kodu</w:t>
            </w: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Dersin Adı</w:t>
            </w: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Kredi</w:t>
            </w: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861585" w:rsidRPr="00ED0689" w:rsidTr="00FB7EA3">
        <w:trPr>
          <w:trHeight w:val="159"/>
          <w:jc w:val="center"/>
        </w:trPr>
        <w:tc>
          <w:tcPr>
            <w:tcW w:w="459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M202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Analiz I</w:t>
            </w: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Analiz I</w:t>
            </w: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61585" w:rsidRPr="00ED0689" w:rsidTr="00FB7EA3">
        <w:trPr>
          <w:trHeight w:val="159"/>
          <w:jc w:val="center"/>
        </w:trPr>
        <w:tc>
          <w:tcPr>
            <w:tcW w:w="4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M203</w:t>
            </w: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Kompleks Analiz</w:t>
            </w: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Kompleks Analiz</w:t>
            </w: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61585" w:rsidRPr="00ED0689" w:rsidTr="00FB7EA3">
        <w:trPr>
          <w:trHeight w:val="159"/>
          <w:jc w:val="center"/>
        </w:trPr>
        <w:tc>
          <w:tcPr>
            <w:tcW w:w="4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Seçmeli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Seçmeli 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61585" w:rsidRPr="00ED0689" w:rsidTr="00FB7EA3">
        <w:trPr>
          <w:trHeight w:val="159"/>
          <w:jc w:val="center"/>
        </w:trPr>
        <w:tc>
          <w:tcPr>
            <w:tcW w:w="4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Seçmeli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1585" w:rsidRPr="00ED0689" w:rsidTr="00FB7EA3">
        <w:trPr>
          <w:trHeight w:val="159"/>
          <w:jc w:val="center"/>
        </w:trPr>
        <w:tc>
          <w:tcPr>
            <w:tcW w:w="4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Seçmeli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Seçmeli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61585" w:rsidRPr="00ED0689" w:rsidTr="00FB7EA3">
        <w:trPr>
          <w:trHeight w:val="159"/>
          <w:jc w:val="center"/>
        </w:trPr>
        <w:tc>
          <w:tcPr>
            <w:tcW w:w="4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Seçmeli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Seçmeli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61585" w:rsidRPr="00ED0689" w:rsidTr="00FB7EA3">
        <w:trPr>
          <w:trHeight w:val="159"/>
          <w:jc w:val="center"/>
        </w:trPr>
        <w:tc>
          <w:tcPr>
            <w:tcW w:w="4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Seçmeli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Seçmeli 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61585" w:rsidRPr="00ED0689" w:rsidTr="00FB7EA3">
        <w:trPr>
          <w:trHeight w:val="159"/>
          <w:jc w:val="center"/>
        </w:trPr>
        <w:tc>
          <w:tcPr>
            <w:tcW w:w="4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Seçmeli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1585" w:rsidRPr="00ED0689" w:rsidTr="00FB7EA3">
        <w:trPr>
          <w:trHeight w:val="212"/>
          <w:jc w:val="center"/>
        </w:trPr>
        <w:tc>
          <w:tcPr>
            <w:tcW w:w="4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Toplam Kredi</w:t>
            </w:r>
            <w:r w:rsidRPr="00ED06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Toplam Kredi</w:t>
            </w:r>
            <w:r w:rsidRPr="00ED06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861585" w:rsidRPr="00ED0689" w:rsidTr="00FB7EA3">
        <w:trPr>
          <w:trHeight w:val="212"/>
          <w:jc w:val="center"/>
        </w:trPr>
        <w:tc>
          <w:tcPr>
            <w:tcW w:w="459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61585" w:rsidRDefault="00861585" w:rsidP="00861585">
      <w:pPr>
        <w:spacing w:after="120" w:line="360" w:lineRule="auto"/>
        <w:ind w:left="34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39C7" w:rsidRPr="00DB1F2B" w:rsidRDefault="00DB1F2B" w:rsidP="00861585">
      <w:pPr>
        <w:numPr>
          <w:ilvl w:val="0"/>
          <w:numId w:val="2"/>
        </w:numPr>
        <w:spacing w:after="120" w:line="360" w:lineRule="auto"/>
        <w:ind w:left="-142" w:firstLine="709"/>
        <w:contextualSpacing/>
        <w:jc w:val="both"/>
        <w:rPr>
          <w:rFonts w:cs="Calibri"/>
          <w:b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Yukarıdaki örnek protokoldeki gibi hazırlanan seçmeli ders eşleştirmelerinin dönem başında </w:t>
      </w:r>
      <w:r w:rsidR="007E4724">
        <w:rPr>
          <w:rFonts w:ascii="Times New Roman" w:hAnsi="Times New Roman"/>
          <w:color w:val="000000"/>
          <w:sz w:val="24"/>
          <w:szCs w:val="24"/>
        </w:rPr>
        <w:t>s</w:t>
      </w:r>
      <w:r w:rsidR="00861585" w:rsidRPr="00FC3E66">
        <w:rPr>
          <w:rFonts w:ascii="Times New Roman" w:hAnsi="Times New Roman"/>
          <w:color w:val="000000"/>
          <w:sz w:val="24"/>
          <w:szCs w:val="24"/>
        </w:rPr>
        <w:t>eçmeli derslerin isimleri belirlendikten sonra ekle-sil  yapılarak isimleri belirtilmelidir.</w:t>
      </w:r>
    </w:p>
    <w:p w:rsidR="00DB1F2B" w:rsidRPr="00861585" w:rsidRDefault="00DB1F2B" w:rsidP="00DB1F2B">
      <w:pPr>
        <w:numPr>
          <w:ilvl w:val="0"/>
          <w:numId w:val="2"/>
        </w:numPr>
        <w:spacing w:after="120" w:line="360" w:lineRule="auto"/>
        <w:ind w:left="-142" w:firstLine="709"/>
        <w:contextualSpacing/>
        <w:jc w:val="both"/>
        <w:rPr>
          <w:rFonts w:cs="Calibri"/>
          <w:b/>
          <w:color w:val="000000"/>
          <w:sz w:val="24"/>
          <w:szCs w:val="24"/>
        </w:rPr>
      </w:pPr>
      <w:r w:rsidRPr="00615376">
        <w:rPr>
          <w:rFonts w:ascii="Times New Roman" w:hAnsi="Times New Roman"/>
          <w:color w:val="000000"/>
          <w:sz w:val="24"/>
          <w:szCs w:val="24"/>
        </w:rPr>
        <w:t xml:space="preserve">Yükseköğretim kurumlarının tamamında, </w:t>
      </w:r>
      <w:r w:rsidRPr="00615376">
        <w:rPr>
          <w:rFonts w:ascii="Times New Roman" w:hAnsi="Times New Roman"/>
          <w:color w:val="FF0000"/>
          <w:sz w:val="24"/>
          <w:szCs w:val="24"/>
        </w:rPr>
        <w:t>2547 sayılı Yükseköğretim Kanununun 5/ı maddesinde yer alan ortak zorunlu dersler başka derslere eşleştirilemez.</w:t>
      </w:r>
      <w:r w:rsidRPr="00615376">
        <w:rPr>
          <w:rFonts w:ascii="Times New Roman" w:hAnsi="Times New Roman"/>
          <w:color w:val="000000"/>
          <w:sz w:val="24"/>
          <w:szCs w:val="24"/>
        </w:rPr>
        <w:t xml:space="preserve"> Ayrıca, özellikle Eğitim Fakülteleri için </w:t>
      </w:r>
      <w:proofErr w:type="spellStart"/>
      <w:r w:rsidRPr="00615376">
        <w:rPr>
          <w:rFonts w:ascii="Times New Roman" w:hAnsi="Times New Roman"/>
          <w:color w:val="000000"/>
          <w:sz w:val="24"/>
          <w:szCs w:val="24"/>
        </w:rPr>
        <w:t>YÖK’nun</w:t>
      </w:r>
      <w:proofErr w:type="spellEnd"/>
      <w:r w:rsidRPr="00615376">
        <w:rPr>
          <w:rFonts w:ascii="Times New Roman" w:hAnsi="Times New Roman"/>
          <w:color w:val="000000"/>
          <w:sz w:val="24"/>
          <w:szCs w:val="24"/>
        </w:rPr>
        <w:t xml:space="preserve"> belirlediği Öğrenme Öğretme Kuram ve Yaklaşımları, Özel Öğretim Yöntemleri, Rehberlik, Türk Eğitim Sistemi ve Okul Yönetimi ve Öğretmenlik Uygulaması gibi </w:t>
      </w:r>
      <w:r w:rsidRPr="00615376">
        <w:rPr>
          <w:rFonts w:ascii="Times New Roman" w:hAnsi="Times New Roman"/>
          <w:color w:val="FF0000"/>
          <w:sz w:val="24"/>
          <w:szCs w:val="24"/>
        </w:rPr>
        <w:t>derslerin karşılığı olarak başka dersler seçilemez</w:t>
      </w:r>
      <w:r w:rsidRPr="0061537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B1F2B" w:rsidRPr="00FC3E66" w:rsidRDefault="00DB1F2B" w:rsidP="00DB1F2B">
      <w:pPr>
        <w:spacing w:after="120" w:line="360" w:lineRule="auto"/>
        <w:ind w:left="567"/>
        <w:contextualSpacing/>
        <w:jc w:val="both"/>
        <w:rPr>
          <w:rFonts w:cs="Calibri"/>
          <w:b/>
          <w:color w:val="FF0000"/>
          <w:sz w:val="24"/>
          <w:szCs w:val="24"/>
        </w:rPr>
      </w:pPr>
    </w:p>
    <w:p w:rsidR="00FC3E66" w:rsidRPr="00FC3E66" w:rsidRDefault="00FC3E66" w:rsidP="00FC3E66">
      <w:pPr>
        <w:spacing w:after="120" w:line="360" w:lineRule="auto"/>
        <w:ind w:left="567"/>
        <w:contextualSpacing/>
        <w:jc w:val="both"/>
        <w:rPr>
          <w:rFonts w:cs="Calibri"/>
          <w:b/>
          <w:color w:val="FF0000"/>
          <w:sz w:val="24"/>
          <w:szCs w:val="24"/>
        </w:rPr>
      </w:pPr>
    </w:p>
    <w:p w:rsidR="00861585" w:rsidRDefault="00861585" w:rsidP="00FC3E66">
      <w:pPr>
        <w:spacing w:after="120" w:line="360" w:lineRule="auto"/>
        <w:ind w:firstLine="709"/>
        <w:jc w:val="center"/>
        <w:rPr>
          <w:rFonts w:cs="Calibri"/>
          <w:b/>
          <w:color w:val="C00000"/>
          <w:sz w:val="28"/>
          <w:szCs w:val="28"/>
        </w:rPr>
      </w:pPr>
      <w:r w:rsidRPr="007E4724">
        <w:rPr>
          <w:rFonts w:cs="Calibri"/>
          <w:b/>
          <w:color w:val="C00000"/>
          <w:sz w:val="28"/>
          <w:szCs w:val="28"/>
        </w:rPr>
        <w:t>2. ÖĞRENİM PROTOKOLÜNÜN ONAYLANMASI</w:t>
      </w:r>
    </w:p>
    <w:p w:rsidR="007E4724" w:rsidRPr="007E4724" w:rsidRDefault="007E4724" w:rsidP="00FC3E66">
      <w:pPr>
        <w:spacing w:after="120" w:line="360" w:lineRule="auto"/>
        <w:ind w:firstLine="709"/>
        <w:jc w:val="center"/>
        <w:rPr>
          <w:rFonts w:cs="Calibri"/>
          <w:b/>
          <w:color w:val="C00000"/>
          <w:sz w:val="28"/>
          <w:szCs w:val="28"/>
        </w:rPr>
      </w:pPr>
    </w:p>
    <w:p w:rsidR="00861585" w:rsidRPr="002128B8" w:rsidRDefault="00861585" w:rsidP="00861585">
      <w:pPr>
        <w:spacing w:after="12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D0689">
        <w:rPr>
          <w:rFonts w:ascii="Times New Roman" w:hAnsi="Times New Roman"/>
          <w:b/>
          <w:color w:val="000000"/>
          <w:sz w:val="24"/>
          <w:szCs w:val="24"/>
        </w:rPr>
        <w:t>Gönderen Üniversite Onayı:</w:t>
      </w:r>
      <w:r w:rsidRPr="00ED068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İ</w:t>
      </w:r>
      <w:r w:rsidRPr="00ED0689">
        <w:rPr>
          <w:rFonts w:ascii="Times New Roman" w:hAnsi="Times New Roman"/>
          <w:color w:val="000000"/>
          <w:sz w:val="24"/>
          <w:szCs w:val="24"/>
        </w:rPr>
        <w:t>lgili birimlerde (enstitü, fakülte, yüksekokul</w:t>
      </w:r>
      <w:r>
        <w:rPr>
          <w:rFonts w:ascii="Times New Roman" w:hAnsi="Times New Roman"/>
          <w:color w:val="000000"/>
          <w:sz w:val="24"/>
          <w:szCs w:val="24"/>
        </w:rPr>
        <w:t>, MYO</w:t>
      </w:r>
      <w:r w:rsidRPr="00ED0689">
        <w:rPr>
          <w:rFonts w:ascii="Times New Roman" w:hAnsi="Times New Roman"/>
          <w:color w:val="000000"/>
          <w:sz w:val="24"/>
          <w:szCs w:val="24"/>
        </w:rPr>
        <w:t xml:space="preserve"> gibi) de ko</w:t>
      </w:r>
      <w:r>
        <w:rPr>
          <w:rFonts w:ascii="Times New Roman" w:hAnsi="Times New Roman"/>
          <w:color w:val="000000"/>
          <w:sz w:val="24"/>
          <w:szCs w:val="24"/>
        </w:rPr>
        <w:t xml:space="preserve">ordinatörler görevlendirilir. </w:t>
      </w:r>
      <w:r w:rsidRPr="00ED0689">
        <w:rPr>
          <w:rFonts w:ascii="Times New Roman" w:hAnsi="Times New Roman"/>
          <w:color w:val="000000"/>
          <w:sz w:val="24"/>
          <w:szCs w:val="24"/>
        </w:rPr>
        <w:t>Koordinatörün</w:t>
      </w:r>
      <w:r>
        <w:rPr>
          <w:rFonts w:ascii="Times New Roman" w:hAnsi="Times New Roman"/>
          <w:color w:val="000000"/>
          <w:sz w:val="24"/>
          <w:szCs w:val="24"/>
        </w:rPr>
        <w:t xml:space="preserve"> izinli olması durumlarda vekil bıraktığı Koordinatör veya ilgili birimin d</w:t>
      </w:r>
      <w:r w:rsidRPr="00ED0689">
        <w:rPr>
          <w:rFonts w:ascii="Times New Roman" w:hAnsi="Times New Roman"/>
          <w:color w:val="000000"/>
          <w:sz w:val="24"/>
          <w:szCs w:val="24"/>
        </w:rPr>
        <w:t xml:space="preserve">ekanı </w:t>
      </w:r>
      <w:r>
        <w:rPr>
          <w:rFonts w:ascii="Times New Roman" w:hAnsi="Times New Roman"/>
          <w:color w:val="000000"/>
          <w:sz w:val="24"/>
          <w:szCs w:val="24"/>
        </w:rPr>
        <w:t xml:space="preserve">Öğrenim Protokolünü imzalayabilir. </w:t>
      </w:r>
      <w:r w:rsidRPr="002128B8">
        <w:rPr>
          <w:rFonts w:ascii="Times New Roman" w:hAnsi="Times New Roman"/>
          <w:color w:val="FF0000"/>
          <w:sz w:val="24"/>
          <w:szCs w:val="24"/>
        </w:rPr>
        <w:t>Gönderen yükseköğretim kurumunun Farabi Kurum Koordinatörünün Öğrenim Protokolünü onaylaması, kendi üniversitesi adına, Sayılacak Derslerin Alınacak derslere denk kabul edildiği ve öğrencinin herhangi bir hak kaybına uğramayacağı anlamına gelir.</w:t>
      </w:r>
    </w:p>
    <w:p w:rsidR="00861585" w:rsidRDefault="00861585" w:rsidP="00861585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Kabul Eden Yükseköğretim Kurumu</w:t>
      </w:r>
      <w:r w:rsidRPr="00ED0689">
        <w:rPr>
          <w:rFonts w:ascii="Times New Roman" w:hAnsi="Times New Roman"/>
          <w:b/>
          <w:color w:val="000000"/>
          <w:sz w:val="24"/>
          <w:szCs w:val="24"/>
        </w:rPr>
        <w:t xml:space="preserve"> Onayı:</w:t>
      </w:r>
      <w:r w:rsidRPr="00ED0689">
        <w:rPr>
          <w:rFonts w:ascii="Times New Roman" w:hAnsi="Times New Roman"/>
          <w:color w:val="000000"/>
          <w:sz w:val="24"/>
          <w:szCs w:val="24"/>
        </w:rPr>
        <w:t xml:space="preserve"> Gidilen üniversitenin yetkililerinin Öğrenim Protokolünü imzalamasıyla, protokolde yer alan </w:t>
      </w:r>
      <w:r w:rsidRPr="002128B8">
        <w:rPr>
          <w:rFonts w:ascii="Times New Roman" w:hAnsi="Times New Roman"/>
          <w:color w:val="FF0000"/>
          <w:sz w:val="24"/>
          <w:szCs w:val="24"/>
        </w:rPr>
        <w:t>Alınacak Derslerin</w:t>
      </w:r>
      <w:r w:rsidRPr="00ED0689">
        <w:rPr>
          <w:rFonts w:ascii="Times New Roman" w:hAnsi="Times New Roman"/>
          <w:color w:val="000000"/>
          <w:sz w:val="24"/>
          <w:szCs w:val="24"/>
        </w:rPr>
        <w:t xml:space="preserve"> kendi üniversitelerinde açılacağı ve Farabi öğrencisinin bu derslere devam edebileceği kabul edilmiş olur. </w:t>
      </w:r>
    </w:p>
    <w:p w:rsidR="00861585" w:rsidRPr="002668CA" w:rsidRDefault="00861585" w:rsidP="00861585">
      <w:pPr>
        <w:spacing w:after="120" w:line="360" w:lineRule="auto"/>
        <w:ind w:firstLine="709"/>
        <w:jc w:val="both"/>
        <w:rPr>
          <w:rFonts w:ascii="Times New Roman" w:hAnsi="Times New Roman"/>
          <w:b/>
          <w:color w:val="FF0000"/>
        </w:rPr>
      </w:pPr>
      <w:bookmarkStart w:id="0" w:name="_GoBack"/>
      <w:bookmarkEnd w:id="0"/>
      <w:r w:rsidRPr="002668CA">
        <w:rPr>
          <w:rFonts w:ascii="Times New Roman" w:hAnsi="Times New Roman"/>
          <w:b/>
          <w:color w:val="FF0000"/>
        </w:rPr>
        <w:t>Yukarıda belirtildiği şekliyle hazırlanan Öğrenim Protokolünü imzalayan öğrenci;</w:t>
      </w:r>
    </w:p>
    <w:p w:rsidR="00861585" w:rsidRPr="00ED0689" w:rsidRDefault="00861585" w:rsidP="00861585">
      <w:pPr>
        <w:numPr>
          <w:ilvl w:val="0"/>
          <w:numId w:val="3"/>
        </w:numPr>
        <w:tabs>
          <w:tab w:val="num" w:pos="1418"/>
        </w:tabs>
        <w:spacing w:after="0" w:line="360" w:lineRule="auto"/>
        <w:ind w:left="1418" w:hanging="357"/>
        <w:jc w:val="both"/>
        <w:rPr>
          <w:rFonts w:ascii="Times New Roman" w:hAnsi="Times New Roman"/>
          <w:color w:val="000000"/>
        </w:rPr>
      </w:pPr>
      <w:r w:rsidRPr="00ED0689">
        <w:rPr>
          <w:rFonts w:ascii="Times New Roman" w:hAnsi="Times New Roman"/>
          <w:color w:val="000000"/>
        </w:rPr>
        <w:t>Öğrenci kaydı, ders kaydı ve ekle/sil uygulamasını gidilen ü</w:t>
      </w:r>
      <w:r>
        <w:rPr>
          <w:rFonts w:ascii="Times New Roman" w:hAnsi="Times New Roman"/>
          <w:color w:val="000000"/>
        </w:rPr>
        <w:t>niversitenin akademik takvimi</w:t>
      </w:r>
      <w:r w:rsidRPr="00ED0689">
        <w:rPr>
          <w:rFonts w:ascii="Times New Roman" w:hAnsi="Times New Roman"/>
          <w:color w:val="000000"/>
        </w:rPr>
        <w:t xml:space="preserve">ne göre yapacağını, </w:t>
      </w:r>
    </w:p>
    <w:p w:rsidR="00861585" w:rsidRPr="00ED0689" w:rsidRDefault="00861585" w:rsidP="00861585">
      <w:pPr>
        <w:numPr>
          <w:ilvl w:val="0"/>
          <w:numId w:val="3"/>
        </w:numPr>
        <w:tabs>
          <w:tab w:val="num" w:pos="1418"/>
        </w:tabs>
        <w:spacing w:after="0" w:line="360" w:lineRule="auto"/>
        <w:ind w:left="1418" w:hanging="357"/>
        <w:jc w:val="both"/>
        <w:rPr>
          <w:rFonts w:ascii="Times New Roman" w:hAnsi="Times New Roman"/>
          <w:color w:val="000000"/>
        </w:rPr>
      </w:pPr>
      <w:r w:rsidRPr="00ED0689">
        <w:rPr>
          <w:rFonts w:ascii="Times New Roman" w:hAnsi="Times New Roman"/>
          <w:bCs/>
          <w:color w:val="000000"/>
        </w:rPr>
        <w:t xml:space="preserve">Ders geçme notunun, </w:t>
      </w:r>
      <w:r>
        <w:rPr>
          <w:rFonts w:ascii="Times New Roman" w:hAnsi="Times New Roman"/>
          <w:bCs/>
          <w:color w:val="000000"/>
        </w:rPr>
        <w:t xml:space="preserve">kabul eden </w:t>
      </w:r>
      <w:r w:rsidRPr="00ED0689">
        <w:rPr>
          <w:rFonts w:ascii="Times New Roman" w:hAnsi="Times New Roman"/>
          <w:bCs/>
          <w:color w:val="000000"/>
        </w:rPr>
        <w:t xml:space="preserve">üniversitenin ilgili Yönetmelik hükümlerine göre belirleneceğini, </w:t>
      </w:r>
    </w:p>
    <w:p w:rsidR="00861585" w:rsidRPr="00ED0689" w:rsidRDefault="00861585" w:rsidP="00861585">
      <w:pPr>
        <w:numPr>
          <w:ilvl w:val="0"/>
          <w:numId w:val="3"/>
        </w:numPr>
        <w:tabs>
          <w:tab w:val="num" w:pos="1418"/>
        </w:tabs>
        <w:spacing w:after="0" w:line="360" w:lineRule="auto"/>
        <w:ind w:left="1418" w:hanging="357"/>
        <w:jc w:val="both"/>
        <w:rPr>
          <w:rFonts w:ascii="Times New Roman" w:hAnsi="Times New Roman"/>
          <w:color w:val="000000"/>
        </w:rPr>
      </w:pPr>
      <w:r w:rsidRPr="00ED0689">
        <w:rPr>
          <w:rFonts w:ascii="Times New Roman" w:hAnsi="Times New Roman"/>
          <w:color w:val="000000"/>
        </w:rPr>
        <w:t xml:space="preserve">Kaldığı derslerin karşılığı olan dersleri, </w:t>
      </w:r>
      <w:r>
        <w:rPr>
          <w:rFonts w:ascii="Times New Roman" w:hAnsi="Times New Roman"/>
          <w:color w:val="000000"/>
        </w:rPr>
        <w:t xml:space="preserve">gönderen </w:t>
      </w:r>
      <w:r w:rsidRPr="00ED0689">
        <w:rPr>
          <w:rFonts w:ascii="Times New Roman" w:hAnsi="Times New Roman"/>
          <w:color w:val="000000"/>
        </w:rPr>
        <w:t xml:space="preserve">üniversitesine döndüğünde yeniden almak zorunda olduğunu, </w:t>
      </w:r>
    </w:p>
    <w:p w:rsidR="00861585" w:rsidRPr="00AC2746" w:rsidRDefault="00861585" w:rsidP="00861585">
      <w:pPr>
        <w:numPr>
          <w:ilvl w:val="0"/>
          <w:numId w:val="3"/>
        </w:numPr>
        <w:tabs>
          <w:tab w:val="num" w:pos="1418"/>
        </w:tabs>
        <w:spacing w:after="0" w:line="360" w:lineRule="auto"/>
        <w:ind w:left="1418" w:hanging="357"/>
        <w:jc w:val="both"/>
        <w:rPr>
          <w:rFonts w:ascii="Times New Roman" w:hAnsi="Times New Roman"/>
          <w:color w:val="000000"/>
        </w:rPr>
      </w:pPr>
      <w:r w:rsidRPr="00AC2746">
        <w:rPr>
          <w:rFonts w:ascii="Times New Roman" w:hAnsi="Times New Roman"/>
          <w:bCs/>
          <w:color w:val="FF0000"/>
        </w:rPr>
        <w:t>Tüm derslerden</w:t>
      </w:r>
      <w:r w:rsidRPr="00AC2746">
        <w:rPr>
          <w:rFonts w:ascii="Times New Roman" w:hAnsi="Times New Roman"/>
          <w:bCs/>
          <w:color w:val="000000"/>
        </w:rPr>
        <w:t xml:space="preserve"> devamsızlıktan kalınması halinde, aldığı bursları iade etmeyi</w:t>
      </w:r>
      <w:r>
        <w:rPr>
          <w:rFonts w:ascii="Times New Roman" w:hAnsi="Times New Roman"/>
          <w:bCs/>
          <w:color w:val="000000"/>
        </w:rPr>
        <w:t>,</w:t>
      </w:r>
    </w:p>
    <w:p w:rsidR="00861585" w:rsidRPr="00AC2746" w:rsidRDefault="00861585" w:rsidP="00861585">
      <w:pPr>
        <w:numPr>
          <w:ilvl w:val="0"/>
          <w:numId w:val="3"/>
        </w:numPr>
        <w:tabs>
          <w:tab w:val="num" w:pos="1418"/>
        </w:tabs>
        <w:spacing w:after="0" w:line="360" w:lineRule="auto"/>
        <w:ind w:left="1418" w:hanging="357"/>
        <w:jc w:val="both"/>
        <w:rPr>
          <w:rFonts w:ascii="Times New Roman" w:hAnsi="Times New Roman"/>
          <w:color w:val="000000"/>
        </w:rPr>
      </w:pPr>
      <w:r w:rsidRPr="00AC2746">
        <w:rPr>
          <w:rFonts w:ascii="Times New Roman" w:hAnsi="Times New Roman"/>
          <w:color w:val="000000"/>
        </w:rPr>
        <w:t xml:space="preserve">Disiplin suçları durumunda, kabul eden yükseköğretim kurumunun ilgili Yönetmelik hükümlerinin uygulanacağını kabul etmiş sayılır. </w:t>
      </w:r>
    </w:p>
    <w:p w:rsidR="00861585" w:rsidRDefault="00861585" w:rsidP="00861585">
      <w:pPr>
        <w:spacing w:after="12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1585" w:rsidRDefault="00861585" w:rsidP="00861585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E1D" w:rsidRDefault="00F37E1D"/>
    <w:sectPr w:rsidR="00F37E1D" w:rsidSect="007E4724">
      <w:pgSz w:w="16839" w:h="11907" w:orient="landscape" w:code="9"/>
      <w:pgMar w:top="680" w:right="963" w:bottom="28" w:left="993" w:header="0" w:footer="0" w:gutter="0"/>
      <w:paperSrc w:first="15" w:other="15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16F08"/>
    <w:multiLevelType w:val="hybridMultilevel"/>
    <w:tmpl w:val="F1329DF6"/>
    <w:lvl w:ilvl="0" w:tplc="660075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26C1748"/>
    <w:multiLevelType w:val="hybridMultilevel"/>
    <w:tmpl w:val="B45A6950"/>
    <w:lvl w:ilvl="0" w:tplc="7BD06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06C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8EC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164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549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B0B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E62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16F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120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3CB1C03"/>
    <w:multiLevelType w:val="hybridMultilevel"/>
    <w:tmpl w:val="E4E0EAEE"/>
    <w:lvl w:ilvl="0" w:tplc="73B8E4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861585"/>
    <w:rsid w:val="005A39C7"/>
    <w:rsid w:val="007E4724"/>
    <w:rsid w:val="00861585"/>
    <w:rsid w:val="00964B98"/>
    <w:rsid w:val="00A1494D"/>
    <w:rsid w:val="00A748A4"/>
    <w:rsid w:val="00D51C96"/>
    <w:rsid w:val="00DB1F2B"/>
    <w:rsid w:val="00F37E1D"/>
    <w:rsid w:val="00FC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85"/>
    <w:rPr>
      <w:rFonts w:ascii="Calibri" w:eastAsia="Calibri" w:hAnsi="Calibri" w:cs="Times New Roman"/>
    </w:rPr>
  </w:style>
  <w:style w:type="paragraph" w:styleId="Balk1">
    <w:name w:val="heading 1"/>
    <w:basedOn w:val="Normal"/>
    <w:link w:val="Balk1Char"/>
    <w:uiPriority w:val="9"/>
    <w:qFormat/>
    <w:rsid w:val="00D51C96"/>
    <w:pPr>
      <w:spacing w:before="150" w:after="150" w:line="600" w:lineRule="atLeast"/>
      <w:outlineLvl w:val="0"/>
    </w:pPr>
    <w:rPr>
      <w:rFonts w:ascii="inherit" w:eastAsia="Times New Roman" w:hAnsi="inherit"/>
      <w:b/>
      <w:bCs/>
      <w:kern w:val="36"/>
      <w:sz w:val="50"/>
      <w:szCs w:val="5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51C96"/>
    <w:rPr>
      <w:rFonts w:ascii="inherit" w:eastAsia="Times New Roman" w:hAnsi="inherit" w:cs="Times New Roman"/>
      <w:b/>
      <w:bCs/>
      <w:kern w:val="36"/>
      <w:sz w:val="50"/>
      <w:szCs w:val="50"/>
      <w:lang w:eastAsia="tr-TR"/>
    </w:rPr>
  </w:style>
  <w:style w:type="character" w:styleId="Gl">
    <w:name w:val="Strong"/>
    <w:basedOn w:val="VarsaylanParagrafYazTipi"/>
    <w:uiPriority w:val="22"/>
    <w:qFormat/>
    <w:rsid w:val="00D51C96"/>
    <w:rPr>
      <w:b/>
      <w:bCs/>
    </w:rPr>
  </w:style>
  <w:style w:type="paragraph" w:styleId="ListeParagraf">
    <w:name w:val="List Paragraph"/>
    <w:basedOn w:val="Normal"/>
    <w:uiPriority w:val="34"/>
    <w:qFormat/>
    <w:rsid w:val="00D51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ntegral">
  <a:themeElements>
    <a:clrScheme name="E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Entegr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E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atatürk</cp:lastModifiedBy>
  <cp:revision>3</cp:revision>
  <dcterms:created xsi:type="dcterms:W3CDTF">2015-04-29T08:15:00Z</dcterms:created>
  <dcterms:modified xsi:type="dcterms:W3CDTF">2018-05-08T06:57:00Z</dcterms:modified>
</cp:coreProperties>
</file>