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94" w:rsidRPr="00034B94" w:rsidRDefault="00034B94" w:rsidP="00034B94">
      <w:pPr>
        <w:shd w:val="clear" w:color="auto" w:fill="FFFFFF"/>
        <w:spacing w:after="0" w:line="346" w:lineRule="atLeast"/>
        <w:jc w:val="center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ÇANAKKALE ONSEKİZ MART ÜNİVERSİTESİ YANDAL  PROGRAM  YÖNERGESİ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Amaç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1 – </w:t>
      </w: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 Bu Yönergenin amacı, lisans düzeyindeki ana dal programlarını başarıyla yürüten öğrencilerin başka bir dalda eğitim almalarını sağlamak amacıyla oluşturulacak olan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programlarının usul ve esaslarını düzenlemektir.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Dayanak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2 – </w:t>
      </w: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Bu Yönerge, </w:t>
      </w:r>
      <w:proofErr w:type="gram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24/4/2010</w:t>
      </w:r>
      <w:proofErr w:type="gram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tarih ve 27561 sayılı Resmi Gazetede yayımlanan Yükseköğretim Kurumlarında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Önlisans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ve Lisans Düzeyindeki Programlar Arasında Geçiş, Çift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, Yan Dal İle Kurumlar Arası Kredi Transferi Yapılması Esaslarına İlişkin Yönetmeliğe dayanılarak hazırlanmıştır.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proofErr w:type="spellStart"/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 xml:space="preserve"> Programı Açılması –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3- </w:t>
      </w: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</w:t>
      </w:r>
      <w:proofErr w:type="gram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)</w:t>
      </w:r>
      <w:proofErr w:type="gram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 ilgili Bölümün ve Fakülte/Yüksekokul Kurulunun önerisi üzerine Üniversite Senatosu'nun onayı ile kesinleşir ve ilgili bölümlerin işbirliği ile yürütülür.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b) </w:t>
      </w:r>
      <w:proofErr w:type="spellStart"/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Yandal</w:t>
      </w:r>
      <w:proofErr w:type="spellEnd"/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 programı en az </w:t>
      </w:r>
      <w:r w:rsidRPr="00034B94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18  ÇOMÜ Kredisi</w:t>
      </w:r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  ve </w:t>
      </w: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 40 ECTS/AKTS den daha az  olamaz</w:t>
      </w:r>
    </w:p>
    <w:p w:rsidR="00034B94" w:rsidRPr="00034B94" w:rsidRDefault="00034B94" w:rsidP="00034B94">
      <w:pPr>
        <w:shd w:val="clear" w:color="auto" w:fill="FFFFFF"/>
        <w:spacing w:after="30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c)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programındaki dersleri saptamada ve bunların alınacağı dönemleri planlamada öğrencilere yardımcı olmak ve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programının amacına uygun biçimde yürütülmesini sağlamak üzere ilgili Bölüm Başkanınca bir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  Programı Koordinatörü atanır.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 Koordinatörü öğrencilerin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lisans programı danışmanları ile iletişim içinde görev yapar.</w:t>
      </w:r>
    </w:p>
    <w:p w:rsidR="00034B94" w:rsidRPr="00034B94" w:rsidRDefault="00034B94" w:rsidP="00034B94">
      <w:pPr>
        <w:shd w:val="clear" w:color="auto" w:fill="FFFFFF"/>
        <w:spacing w:after="30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d)Bu öğrenciler hakkında karar almaya, öğrencinin izlediği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programını veren Fakülte/Yüksekokul yetkilidir.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e)Fakülte ve Yüksekokul kurulları, bir sonraki yıla ait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 öğretim planı  önerilerini her yıl en geç Mayıs ayı sonuna kadar Üniversite Senatosunun onayına sunar.</w:t>
      </w:r>
    </w:p>
    <w:p w:rsidR="00034B94" w:rsidRPr="00034B94" w:rsidRDefault="00034B94" w:rsidP="0003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34B94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shd w:val="clear" w:color="auto" w:fill="FFFFFF"/>
          <w:lang w:eastAsia="tr-TR"/>
        </w:rPr>
        <w:t>Yandal</w:t>
      </w:r>
      <w:proofErr w:type="spellEnd"/>
      <w:r w:rsidRPr="00034B94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shd w:val="clear" w:color="auto" w:fill="FFFFFF"/>
          <w:lang w:eastAsia="tr-TR"/>
        </w:rPr>
        <w:t xml:space="preserve">  Programına  Başvuru ve Kabul Koşulları</w:t>
      </w:r>
      <w:r w:rsidRPr="00034B94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shd w:val="clear" w:color="auto" w:fill="FFFFFF"/>
          <w:lang w:eastAsia="tr-TR"/>
        </w:rPr>
        <w:br/>
      </w:r>
      <w:r w:rsidRPr="00034B94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shd w:val="clear" w:color="auto" w:fill="FFFFFF"/>
          <w:lang w:eastAsia="tr-TR"/>
        </w:rPr>
        <w:br/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MADDE 4- </w:t>
      </w:r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a</w:t>
      </w:r>
      <w:proofErr w:type="gramStart"/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)</w:t>
      </w:r>
      <w:proofErr w:type="gramEnd"/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 İlgili Dekanlık/Müdürlük; her akademik yılın başında  </w:t>
      </w:r>
      <w:proofErr w:type="spellStart"/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yandal</w:t>
      </w:r>
      <w:proofErr w:type="spellEnd"/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 xml:space="preserve">  programının kontenjanlarını, başvuru tarihlerini ve varsa özel koşullarını  belirterek bir ay öncesinden  ilan eder.</w:t>
      </w:r>
    </w:p>
    <w:p w:rsidR="00034B94" w:rsidRPr="00034B94" w:rsidRDefault="00034B94" w:rsidP="00034B94">
      <w:pPr>
        <w:shd w:val="clear" w:color="auto" w:fill="FFFFFF"/>
        <w:spacing w:after="30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b) Üniversitemiz Fakülte/Yüksekokullarında kayıtlı bulunan öğrenciler, duyurulmuş olan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programına,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lisans programının en erken üçüncü,  en geç altıncı  yarıyılın başında başvurabilir.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c)</w:t>
      </w:r>
      <w:r w:rsidRPr="00034B94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 </w:t>
      </w:r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Başvurular, ilan edilen tarihler arasında, başvuru formu ve not durum belgesi (transkript) ile ilgili Fakülte Dekanlıklarına/Yüksekokul Müdürlüklerine  yapılır.</w:t>
      </w:r>
    </w:p>
    <w:p w:rsidR="00034B94" w:rsidRPr="00034B94" w:rsidRDefault="00034B94" w:rsidP="00034B94">
      <w:pPr>
        <w:shd w:val="clear" w:color="auto" w:fill="FFFFFF"/>
        <w:spacing w:after="30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d) Öğrencinin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programına başvurabilmesi için başvurduğu döneme kadar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  lisans  programında  aldığı  tüm dersleri başarıyla tamamlamış  olması,  başvurusu sırasındaki genel not ortalamasının en az 100 üzerinden 65, 4 lük not sisteminde 2,25 olması şartı aranır.</w:t>
      </w:r>
    </w:p>
    <w:p w:rsidR="00034B94" w:rsidRPr="00034B94" w:rsidRDefault="00034B94" w:rsidP="00034B94">
      <w:pPr>
        <w:shd w:val="clear" w:color="auto" w:fill="FFFFFF"/>
        <w:spacing w:after="30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lastRenderedPageBreak/>
        <w:t xml:space="preserve">e) Öğrenci, aynı anda birden fazla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programına kayıt olamaz. Öğrenci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programını kendi isteği ile bırakabilir.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programından kayıt sildiren öğrenci, aynı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programına tekrar kayıt yaptıramaz.</w:t>
      </w:r>
    </w:p>
    <w:p w:rsidR="00034B94" w:rsidRPr="00034B94" w:rsidRDefault="00034B94" w:rsidP="00034B94">
      <w:pPr>
        <w:shd w:val="clear" w:color="auto" w:fill="FFFFFF"/>
        <w:spacing w:after="30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 f)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programına başvuran öğrencinin herhangi bir disiplin cezası almamış olması gerekir.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Başarı ve Mezuniyet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6- </w:t>
      </w:r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a</w:t>
      </w:r>
      <w:proofErr w:type="gramStart"/>
      <w:r w:rsidRPr="00034B94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)</w:t>
      </w:r>
      <w:proofErr w:type="gramEnd"/>
      <w:r w:rsidRPr="00034B94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 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 kayıt donduran öğrenci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 da kayıt dondurmuş sayılır.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b</w:t>
      </w:r>
      <w:r w:rsidRPr="00034B94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) 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programında, iki dönem üst üste ders almayan öğrencinin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programından kaydı silinir.</w:t>
      </w:r>
    </w:p>
    <w:p w:rsidR="00034B94" w:rsidRPr="00034B94" w:rsidRDefault="00034B94" w:rsidP="00034B94">
      <w:pPr>
        <w:shd w:val="clear" w:color="auto" w:fill="FFFFFF"/>
        <w:spacing w:after="30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c)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 genel not ortalaması 100 üzerinden 60, 4 lük not sisteminde 2.00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nin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altına düşen öğrencinin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programından kaydı silinir.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tr-TR"/>
        </w:rPr>
        <w:t>d</w:t>
      </w:r>
      <w:r w:rsidRPr="00034B94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tr-TR"/>
        </w:rPr>
        <w:t>) 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programından mezuniyet hakkını elde eden ve henüz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programını bitiremeyen öğrencilere ilgili Yönetim Kurullarının kararı ile en fazla bir yarıyıl ek süre tanınır. Ek süre boyunca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yaptıkları bölüme ait öğrenci katkı payını lisans programında geçirdikleri toplam dönem sayısı göz önüne alınarak ödemeye devam ederler. Öğrencilik haklarından yararlanamazlar.</w:t>
      </w:r>
    </w:p>
    <w:p w:rsidR="00034B94" w:rsidRPr="00034B94" w:rsidRDefault="00034B94" w:rsidP="00034B94">
      <w:pPr>
        <w:shd w:val="clear" w:color="auto" w:fill="FFFFFF"/>
        <w:spacing w:after="30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e)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programından kendi isteği ile ayrılan veya ilişiği kesilen öğrencilerin başarılı olduğu ve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programına sayılmayan dersler genel not ortalamasına </w:t>
      </w:r>
      <w:proofErr w:type="gram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dahil</w:t>
      </w:r>
      <w:proofErr w:type="gram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edilmeksizin transkript ve diploma ekinde yer alır.</w:t>
      </w:r>
    </w:p>
    <w:p w:rsidR="00034B94" w:rsidRPr="00034B94" w:rsidRDefault="00034B94" w:rsidP="00034B94">
      <w:pPr>
        <w:shd w:val="clear" w:color="auto" w:fill="FFFFFF"/>
        <w:spacing w:after="30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f)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Anadal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programında mezuniyet hakkını elde eden ve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programını en az 2.00 ortalama ile tamamlayan öğrenciye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sertifikası verilir.</w:t>
      </w:r>
    </w:p>
    <w:p w:rsidR="00034B94" w:rsidRPr="00034B94" w:rsidRDefault="00034B94" w:rsidP="00034B94">
      <w:pPr>
        <w:shd w:val="clear" w:color="auto" w:fill="FFFFFF"/>
        <w:spacing w:after="30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g)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programını tamamlayan öğrenci,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yandal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alanında lisans ve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önlisans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diploması ile verilen hak ve yetkilerden yararlanamaz.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Diğer Hükümler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7-</w:t>
      </w: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 Bu yönergede bulunmayan hallerde; ilgili yönetmelikler, diğer mevzuat hükümleri ve Senato kararları uygulanır.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Yürürlük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8-</w:t>
      </w: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Bu Yönerge yayımlandığı tarihten itibaren yürürlüğe girer.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Yürütme</w:t>
      </w:r>
    </w:p>
    <w:p w:rsidR="00034B94" w:rsidRPr="00034B94" w:rsidRDefault="00034B94" w:rsidP="00034B94">
      <w:pPr>
        <w:shd w:val="clear" w:color="auto" w:fill="FFFFFF"/>
        <w:spacing w:after="0" w:line="346" w:lineRule="atLeast"/>
        <w:textAlignment w:val="baseline"/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</w:pPr>
      <w:r w:rsidRPr="00034B94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eastAsia="tr-TR"/>
        </w:rPr>
        <w:t>Madde 9</w:t>
      </w:r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- Bu Yönerge hükümlerini Çanakkale </w:t>
      </w:r>
      <w:proofErr w:type="spellStart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>Onsekizmart</w:t>
      </w:r>
      <w:proofErr w:type="spellEnd"/>
      <w:r w:rsidRPr="00034B94">
        <w:rPr>
          <w:rFonts w:ascii="Calibri" w:eastAsia="Times New Roman" w:hAnsi="Calibri" w:cs="Times New Roman"/>
          <w:color w:val="222222"/>
          <w:sz w:val="23"/>
          <w:szCs w:val="23"/>
          <w:lang w:eastAsia="tr-TR"/>
        </w:rPr>
        <w:t xml:space="preserve"> Üniversitesi Rektörü yürütür.</w:t>
      </w:r>
    </w:p>
    <w:p w:rsidR="0069215F" w:rsidRDefault="0069215F">
      <w:bookmarkStart w:id="0" w:name="_GoBack"/>
      <w:bookmarkEnd w:id="0"/>
    </w:p>
    <w:sectPr w:rsidR="0069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94"/>
    <w:rsid w:val="00034B94"/>
    <w:rsid w:val="006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A249B-FFED-4EE8-AF77-30F81D3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ysiwyg-text-align-center">
    <w:name w:val="wysiwyg-text-align-center"/>
    <w:basedOn w:val="Normal"/>
    <w:rsid w:val="0003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3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3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sezginfef</dc:creator>
  <cp:keywords/>
  <dc:description/>
  <cp:lastModifiedBy>sezginfef</cp:lastModifiedBy>
  <cp:revision>2</cp:revision>
  <dcterms:created xsi:type="dcterms:W3CDTF">2016-03-10T15:23:00Z</dcterms:created>
  <dcterms:modified xsi:type="dcterms:W3CDTF">2016-03-10T15:23:00Z</dcterms:modified>
</cp:coreProperties>
</file>