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7A" w:rsidRPr="007B277A" w:rsidRDefault="007B277A" w:rsidP="007B277A">
      <w:pPr>
        <w:pBdr>
          <w:bottom w:val="single" w:sz="4" w:space="5" w:color="EEEEEE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  <w:t>KURS BILGILERI</w:t>
      </w: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3883"/>
        <w:gridCol w:w="1171"/>
        <w:gridCol w:w="891"/>
        <w:gridCol w:w="1273"/>
        <w:gridCol w:w="636"/>
        <w:gridCol w:w="636"/>
      </w:tblGrid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proofErr w:type="gramStart"/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kod</w:t>
            </w:r>
            <w:proofErr w:type="gramEnd"/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proofErr w:type="gramStart"/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dönem</w:t>
            </w:r>
            <w:proofErr w:type="gramEnd"/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L + U Saat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Kredi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AKTS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3819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Diferansiyel Denklemler I</w:t>
            </w:r>
          </w:p>
        </w:tc>
        <w:tc>
          <w:tcPr>
            <w:tcW w:w="1152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14MAT205</w:t>
            </w:r>
          </w:p>
        </w:tc>
        <w:tc>
          <w:tcPr>
            <w:tcW w:w="8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Yaz Okulu</w:t>
            </w:r>
          </w:p>
        </w:tc>
        <w:tc>
          <w:tcPr>
            <w:tcW w:w="1252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 + 2</w:t>
            </w:r>
          </w:p>
        </w:tc>
        <w:tc>
          <w:tcPr>
            <w:tcW w:w="626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3.0</w:t>
            </w:r>
          </w:p>
        </w:tc>
        <w:tc>
          <w:tcPr>
            <w:tcW w:w="626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5.0</w:t>
            </w:r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266"/>
        <w:gridCol w:w="6224"/>
      </w:tblGrid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Ön şartlar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Yok</w:t>
            </w:r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266"/>
        <w:gridCol w:w="6224"/>
      </w:tblGrid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Öğretim Dili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Türk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Kurs Düzeyi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Lisans Derecesi (Lisans)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 Türü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Zorunlu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Teslim şekli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Yüz yüze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Koordinatör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014C8E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Yrd.Doç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</w:t>
            </w:r>
            <w:r w:rsidR="007B277A"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Dr </w:t>
            </w:r>
            <w:r w:rsidR="007B277A"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="007B277A"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Can AKTAŞ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E</w:t>
            </w: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ğitmenler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Gör. Erdoğan ÜNLÜ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Yardımcıları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Gör. Erdoğan ÜNLÜ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Kurs Hedefleri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Diferansiyel Denklemleri Elde Etme ve Çözme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Kurs içeriği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Temel Tanımlar, Diferansiyel Denklemlerin Elde Edilmesi, Birinci Mertebeden Diferansiyel Denklemler, Ayrılabilir Diferansiyel Denklemler, Homojen Diferansiyel Denklemler, Homojen Dönüştürülebilir Diferansiyel Denklemler, Tam Diferansiyel Denklemler,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İntegral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Faktörü, Lineer Diferansiyel Denklemler, Diferansiyel Denklemler uygulamaları, Yüksek Mertebeden Homojen Lineer Diferansiyel Denklemler, Yüksek Mertebeden Homojen Olmayan Lineer Diferansiyel Denklemler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Dersin Öğrenme Kazanımları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1) Diferansiyel denklemleri ayrılabilir değişkenlerle çözebilir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br/>
              <w:t>2) Homojen, tam ve tam olmayan diferansiyel denklemleri tanımlayabilir.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br/>
              <w:t>3) Lineer diferansiyel denklemleri tanımlayabilir.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br/>
            </w:r>
            <w:proofErr w:type="gram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4) Birinci mertebeden ve yüksek mertebeden diferansiyel denklemleri çözer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br/>
              <w:t>5) Sabit katsayılı lineer diferansiyel denklemleri hesaplar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br/>
              <w:t>6) Değişken katsayılı diferansiyel denklemleri yorumlayabilir5) Sabit katsayılı lineer diferansiyel denklem hesaplama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6) Değişken katsayılı diferansiyel denklemleri yorumlama5) Sabit katsayılı lineer diferansiyel denklem hesaplama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6) Değişken katsayılı diferansiyel denklemleri yorumlama 6) Değişken katsayılı diferansiyel denklemleri yorumlayabilir.6) Değişken katsayılı diferansiyel denklemleri yorumlayabilir.</w:t>
            </w:r>
            <w:proofErr w:type="gramEnd"/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277A" w:rsidRPr="007B277A" w:rsidRDefault="007B277A" w:rsidP="007B277A">
      <w:pPr>
        <w:pBdr>
          <w:bottom w:val="single" w:sz="4" w:space="5" w:color="EEEEEE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  <w:t>HAFTALIK DERS İÇERIĞI</w:t>
      </w: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4942"/>
        <w:gridCol w:w="1394"/>
        <w:gridCol w:w="1394"/>
      </w:tblGrid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Başlıklar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Öğretim ve Öğrenme Yöntem ve Teknikleri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Eğitim Materyalleri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Temel Tanımlar, Diferansiyel Denklemlerin Elde Edilmesi,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Değişkenlerden ayrılabilir diferansiyel denklem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3.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Homojen diferansiyel denklem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Tam diferansiyel denklemler ve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integrasyon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faktörü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Lineer diferansiyel denklem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Lineer diferansiyel denklemlerin indirgenmesi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Birinci mertebeden ve yüksek mertebeden diferansiyel denklemler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Birinci mertebeden ve yüksek mertebeden diferansiyel denklemler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9.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Ara sınav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Yazılı sınav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Diferansiyel denklem uygulamaları;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Sabit katsayılı lineer diferansiyel denklemler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Yüksek mertebeden diferansiyel denklemler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Yüksek mertebeden diferansiyel denklemler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Yüksek mertebeden diferansiyel denklemler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Yüksek mertebeden diferansiyel denklemler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Anlatım - Uygulama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lastRenderedPageBreak/>
              <w:t>15.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Final sınavı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Yüz yüze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B277A" w:rsidRPr="007B277A" w:rsidTr="007B277A">
        <w:trPr>
          <w:tblCellSpacing w:w="0" w:type="dxa"/>
        </w:trPr>
        <w:tc>
          <w:tcPr>
            <w:tcW w:w="751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 Hafta</w:t>
            </w:r>
          </w:p>
        </w:tc>
        <w:tc>
          <w:tcPr>
            <w:tcW w:w="4883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Final sınavı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Yazılı sınav</w:t>
            </w:r>
          </w:p>
        </w:tc>
        <w:tc>
          <w:tcPr>
            <w:tcW w:w="1377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277A" w:rsidRPr="007B277A" w:rsidRDefault="007B277A" w:rsidP="007B277A">
      <w:pPr>
        <w:pBdr>
          <w:bottom w:val="single" w:sz="4" w:space="5" w:color="EEEEEE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  <w:t>KAYNAKLAR</w:t>
      </w: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8490"/>
      </w:tblGrid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Önerilen Kaynaklar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8339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Adi Diferansiyel Denklemler, Mehmet ÇAĞLIYAN, Nisa Çelik,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Setenay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DOĞAN, DORA Yayıncılık, 2008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8339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Temel Diferansiyel Denklemler ve Sınır Değer Problemleri, William E.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Boyce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ve Richard C.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DiPrima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,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Wiley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Pub</w:t>
            </w:r>
            <w:proofErr w:type="spellEnd"/>
            <w:proofErr w:type="gram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.,</w:t>
            </w:r>
            <w:proofErr w:type="gram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2012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8339" w:type="dxa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Diferansiyel Denklemler, SL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Ross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,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Blaisdell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Pub</w:t>
            </w:r>
            <w:proofErr w:type="spellEnd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Pr="007B277A">
              <w:rPr>
                <w:rFonts w:ascii="Times New Roman" w:eastAsia="Times New Roman" w:hAnsi="Times New Roman" w:cs="Times New Roman"/>
                <w:sz w:val="15"/>
                <w:lang w:eastAsia="tr-TR"/>
              </w:rPr>
              <w:t> </w:t>
            </w: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1964</w:t>
            </w:r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277A" w:rsidRPr="007B277A" w:rsidRDefault="007B277A" w:rsidP="007B277A">
      <w:pPr>
        <w:pBdr>
          <w:bottom w:val="single" w:sz="4" w:space="5" w:color="EEEEEE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  <w:t>DEĞERLENDIRME</w:t>
      </w: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5685"/>
        <w:gridCol w:w="1450"/>
        <w:gridCol w:w="1355"/>
      </w:tblGrid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Dönem İçi Çalışmalar</w:t>
            </w:r>
          </w:p>
        </w:tc>
        <w:tc>
          <w:tcPr>
            <w:tcW w:w="37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proofErr w:type="gramStart"/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miktar</w:t>
            </w:r>
            <w:proofErr w:type="gramEnd"/>
          </w:p>
        </w:tc>
        <w:tc>
          <w:tcPr>
            <w:tcW w:w="376" w:type="dxa"/>
            <w:tcBorders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Yüzde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Ara Sınav 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40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Genel Toplam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40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Dönem Sonu Çalışmaları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proofErr w:type="gramStart"/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miktar</w:t>
            </w:r>
            <w:proofErr w:type="gramEnd"/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Yüzde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Final sınavı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60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Genel Toplam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60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gridSpan w:val="2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YARIYIL İÇİ ÇALIŞMALARININ DEĞERLENDİRİLMESİ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40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gridSpan w:val="2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Dönem Sonu Çalışmaları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60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gridSpan w:val="2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Genel Toplam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100</w:t>
            </w:r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277A" w:rsidRPr="007B277A" w:rsidRDefault="007B277A" w:rsidP="007B277A">
      <w:pPr>
        <w:pBdr>
          <w:bottom w:val="single" w:sz="4" w:space="5" w:color="EEEEEE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  <w:t>DERS KATEGORISI</w:t>
      </w: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6091"/>
        <w:gridCol w:w="2399"/>
      </w:tblGrid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 Kategorisi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Yüzde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Temel Meslek Dersi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% 100</w:t>
            </w:r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277A" w:rsidRPr="007B277A" w:rsidRDefault="007B277A" w:rsidP="007B277A">
      <w:pPr>
        <w:pBdr>
          <w:bottom w:val="single" w:sz="4" w:space="5" w:color="EEEEEE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  <w:t>DERSİN ÖĞRENME ÇIKTILARI PROGRAM ÇIKTILARI İLE İLGİLİ KATKİLERİ</w:t>
      </w:r>
    </w:p>
    <w:tbl>
      <w:tblPr>
        <w:tblW w:w="8490" w:type="dxa"/>
        <w:tblBorders>
          <w:top w:val="single" w:sz="4" w:space="0" w:color="EEEEEE"/>
          <w:left w:val="single" w:sz="4" w:space="0" w:color="EEEEEE"/>
          <w:bottom w:val="outset" w:sz="6" w:space="0" w:color="auto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303"/>
        <w:gridCol w:w="3631"/>
        <w:gridCol w:w="426"/>
        <w:gridCol w:w="426"/>
        <w:gridCol w:w="426"/>
        <w:gridCol w:w="426"/>
        <w:gridCol w:w="426"/>
        <w:gridCol w:w="426"/>
      </w:tblGrid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Program Çıktıları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Katkı Düzeyi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  <w:t>DK1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  <w:t>DK2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  <w:t>DK3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  <w:t>DK4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  <w:t>DK5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tr-TR"/>
              </w:rPr>
              <w:t>DK6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PY2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PY3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PY4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PY5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PY6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PY7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PY8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PY9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PY10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  <w:tr w:rsidR="007B277A" w:rsidRPr="007B277A" w:rsidTr="007B27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tr-TR"/>
              </w:rPr>
              <w:t>PY11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</w:t>
            </w:r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277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* DK = Kursun </w:t>
      </w:r>
      <w:proofErr w:type="spellStart"/>
      <w:r w:rsidRPr="007B277A"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Kontrolu</w:t>
      </w:r>
      <w:proofErr w:type="spellEnd"/>
      <w:r w:rsidRPr="007B277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701"/>
        <w:gridCol w:w="1389"/>
        <w:gridCol w:w="938"/>
        <w:gridCol w:w="641"/>
        <w:gridCol w:w="1057"/>
        <w:gridCol w:w="1499"/>
      </w:tblGrid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5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Katkı düzeyi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Yok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Çok düşük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Düşük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gramStart"/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adil</w:t>
            </w:r>
            <w:proofErr w:type="gramEnd"/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Yüksek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Çok yüksek</w:t>
            </w:r>
          </w:p>
        </w:tc>
      </w:tr>
    </w:tbl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277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277A" w:rsidRPr="007B277A" w:rsidRDefault="007B277A" w:rsidP="007B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277A" w:rsidRPr="007B277A" w:rsidRDefault="007B277A" w:rsidP="007B277A">
      <w:pPr>
        <w:pBdr>
          <w:bottom w:val="single" w:sz="4" w:space="5" w:color="EEEEEE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caps/>
          <w:sz w:val="18"/>
          <w:szCs w:val="18"/>
          <w:lang w:eastAsia="tr-TR"/>
        </w:rPr>
        <w:t>AKTS KREDISI VE DERS IŞ YÜKÜ</w:t>
      </w:r>
    </w:p>
    <w:tbl>
      <w:tblPr>
        <w:tblW w:w="8490" w:type="dxa"/>
        <w:tblCellSpacing w:w="0" w:type="dxa"/>
        <w:tblBorders>
          <w:top w:val="single" w:sz="4" w:space="0" w:color="EEEEEE"/>
          <w:left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5032"/>
        <w:gridCol w:w="578"/>
        <w:gridCol w:w="1252"/>
        <w:gridCol w:w="1628"/>
      </w:tblGrid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Olay</w:t>
            </w:r>
          </w:p>
        </w:tc>
        <w:tc>
          <w:tcPr>
            <w:tcW w:w="501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proofErr w:type="gramStart"/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miktar</w:t>
            </w:r>
            <w:proofErr w:type="gramEnd"/>
          </w:p>
        </w:tc>
        <w:tc>
          <w:tcPr>
            <w:tcW w:w="1252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Süre (Saat)</w:t>
            </w:r>
          </w:p>
        </w:tc>
        <w:tc>
          <w:tcPr>
            <w:tcW w:w="1628" w:type="dxa"/>
            <w:tcBorders>
              <w:bottom w:val="single" w:sz="4" w:space="0" w:color="EEEEEE"/>
              <w:right w:val="single" w:sz="2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Toplam İş Yükü (Saat)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Ders Saati (14 hafta)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56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Ara Sınav İçin Hazırlık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Final Sınavı Hazırlığı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Ön çalışma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22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İlerideki çalışma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36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Ara Sınav 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Final sınavı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4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gridSpan w:val="3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Toplam İş Yükü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128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gridSpan w:val="3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Toplam İş Yükü / </w:t>
            </w:r>
            <w:proofErr w:type="gramStart"/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25.5</w:t>
            </w:r>
            <w:proofErr w:type="gramEnd"/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 (s)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5.02</w:t>
            </w:r>
          </w:p>
        </w:tc>
      </w:tr>
      <w:tr w:rsidR="007B277A" w:rsidRPr="007B277A" w:rsidTr="007B277A">
        <w:trPr>
          <w:tblCellSpacing w:w="0" w:type="dxa"/>
        </w:trPr>
        <w:tc>
          <w:tcPr>
            <w:tcW w:w="2266" w:type="dxa"/>
            <w:gridSpan w:val="3"/>
            <w:tcBorders>
              <w:bottom w:val="single" w:sz="4" w:space="0" w:color="EEEEEE"/>
              <w:right w:val="single" w:sz="4" w:space="0" w:color="EEEEEE"/>
            </w:tcBorders>
            <w:shd w:val="clear" w:color="auto" w:fill="F6F6F6"/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Dersin AKTS Kredisi</w:t>
            </w:r>
          </w:p>
        </w:tc>
        <w:tc>
          <w:tcPr>
            <w:tcW w:w="0" w:type="auto"/>
            <w:tcBorders>
              <w:bottom w:val="single" w:sz="4" w:space="0" w:color="EEEEEE"/>
              <w:right w:val="single" w:sz="2" w:space="0" w:color="EEEEEE"/>
            </w:tcBorders>
            <w:tcMar>
              <w:top w:w="100" w:type="dxa"/>
              <w:left w:w="63" w:type="dxa"/>
              <w:bottom w:w="75" w:type="dxa"/>
              <w:right w:w="63" w:type="dxa"/>
            </w:tcMar>
            <w:hideMark/>
          </w:tcPr>
          <w:p w:rsidR="007B277A" w:rsidRPr="007B277A" w:rsidRDefault="007B277A" w:rsidP="007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277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</w:t>
            </w:r>
          </w:p>
        </w:tc>
      </w:tr>
    </w:tbl>
    <w:p w:rsidR="007B277A" w:rsidRPr="007B277A" w:rsidRDefault="007B277A" w:rsidP="007B277A">
      <w:pPr>
        <w:shd w:val="clear" w:color="auto" w:fill="F9F9F9"/>
        <w:spacing w:after="125" w:line="240" w:lineRule="auto"/>
        <w:outlineLvl w:val="5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sz w:val="18"/>
          <w:szCs w:val="18"/>
          <w:lang w:eastAsia="tr-TR"/>
        </w:rPr>
        <w:t>Hızlı erişim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>
            <wp:extent cx="198755" cy="191135"/>
            <wp:effectExtent l="19050" t="0" r="0" b="0"/>
            <wp:docPr id="1" name="Resim 1" descr="Hızlı Erişim Geniş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ızlı Erişim Genişl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7A" w:rsidRPr="007B277A" w:rsidRDefault="007B277A" w:rsidP="007B277A">
      <w:pPr>
        <w:pBdr>
          <w:bottom w:val="single" w:sz="4" w:space="6" w:color="EEEEEE"/>
        </w:pBdr>
        <w:shd w:val="clear" w:color="auto" w:fill="F9F9F9"/>
        <w:spacing w:after="0" w:line="240" w:lineRule="auto"/>
        <w:outlineLvl w:val="5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B277A">
        <w:rPr>
          <w:rFonts w:ascii="Times New Roman" w:eastAsia="Times New Roman" w:hAnsi="Times New Roman" w:cs="Times New Roman"/>
          <w:sz w:val="18"/>
          <w:szCs w:val="18"/>
          <w:lang w:eastAsia="tr-TR"/>
        </w:rPr>
        <w:t>Matematik</w:t>
      </w:r>
      <w:r w:rsidRPr="007B277A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</w:p>
    <w:sectPr w:rsidR="007B277A" w:rsidRPr="007B277A" w:rsidSect="007B27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587C"/>
    <w:multiLevelType w:val="multilevel"/>
    <w:tmpl w:val="BD5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05DFD"/>
    <w:multiLevelType w:val="multilevel"/>
    <w:tmpl w:val="6556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277A"/>
    <w:rsid w:val="00014C8E"/>
    <w:rsid w:val="007B277A"/>
    <w:rsid w:val="008A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C9"/>
  </w:style>
  <w:style w:type="paragraph" w:styleId="Balk6">
    <w:name w:val="heading 6"/>
    <w:basedOn w:val="Normal"/>
    <w:link w:val="Balk6Char"/>
    <w:uiPriority w:val="9"/>
    <w:qFormat/>
    <w:rsid w:val="007B277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7B277A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customStyle="1" w:styleId="apple-converted-space">
    <w:name w:val="apple-converted-space"/>
    <w:basedOn w:val="VarsaylanParagrafYazTipi"/>
    <w:rsid w:val="007B277A"/>
  </w:style>
  <w:style w:type="character" w:styleId="Kpr">
    <w:name w:val="Hyperlink"/>
    <w:basedOn w:val="VarsaylanParagrafYazTipi"/>
    <w:uiPriority w:val="99"/>
    <w:semiHidden/>
    <w:unhideWhenUsed/>
    <w:rsid w:val="007B277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6823">
                      <w:marLeft w:val="0"/>
                      <w:marRight w:val="0"/>
                      <w:marTop w:val="0"/>
                      <w:marBottom w:val="125"/>
                      <w:divBdr>
                        <w:top w:val="single" w:sz="4" w:space="6" w:color="EEEEEE"/>
                        <w:left w:val="single" w:sz="4" w:space="9" w:color="EEEEEE"/>
                        <w:bottom w:val="single" w:sz="4" w:space="6" w:color="EEEEEE"/>
                        <w:right w:val="single" w:sz="4" w:space="9" w:color="EEEEEE"/>
                      </w:divBdr>
                    </w:div>
                    <w:div w:id="32004203">
                      <w:marLeft w:val="0"/>
                      <w:marRight w:val="0"/>
                      <w:marTop w:val="0"/>
                      <w:marBottom w:val="125"/>
                      <w:divBdr>
                        <w:top w:val="single" w:sz="4" w:space="6" w:color="EEEEEE"/>
                        <w:left w:val="single" w:sz="4" w:space="9" w:color="EEEEEE"/>
                        <w:bottom w:val="single" w:sz="4" w:space="6" w:color="EEEEEE"/>
                        <w:right w:val="single" w:sz="4" w:space="9" w:color="EEEEEE"/>
                      </w:divBdr>
                    </w:div>
                    <w:div w:id="88544728">
                      <w:marLeft w:val="0"/>
                      <w:marRight w:val="0"/>
                      <w:marTop w:val="0"/>
                      <w:marBottom w:val="125"/>
                      <w:divBdr>
                        <w:top w:val="single" w:sz="4" w:space="6" w:color="EEEEEE"/>
                        <w:left w:val="single" w:sz="4" w:space="9" w:color="EEEEEE"/>
                        <w:bottom w:val="single" w:sz="4" w:space="6" w:color="EEEEEE"/>
                        <w:right w:val="single" w:sz="4" w:space="9" w:color="EEEE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2017-06-09T06:50:00Z</dcterms:created>
  <dcterms:modified xsi:type="dcterms:W3CDTF">2017-06-09T06:53:00Z</dcterms:modified>
</cp:coreProperties>
</file>