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KALİTE GÜVENCE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1"/>
        <w:gridCol w:w="3941"/>
        <w:gridCol w:w="1959"/>
        <w:gridCol w:w="1681"/>
        <w:tblGridChange w:id="0">
          <w:tblGrid>
            <w:gridCol w:w="1781"/>
            <w:gridCol w:w="3941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Dr. Evren KARAYEL GÖKKAYA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18.05.2023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Doç. Dr. Deniz KÜRŞAD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GSF 2022 yılında gerçekleştirilen PUK döngüsünün kapatılması kapsamında yapılan iyileştirmeler.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22.05.2023 tarihinde 2023 yılına ait PUK döngüsünün dosyasının tamamlanmasına karar verilmiştir.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Ind w:w="496.0" w:type="dxa"/>
        <w:tblLayout w:type="fixed"/>
        <w:tblLook w:val="0400"/>
      </w:tblPr>
      <w:tblGrid>
        <w:gridCol w:w="1559"/>
        <w:gridCol w:w="1559"/>
        <w:gridCol w:w="1559"/>
        <w:gridCol w:w="1559"/>
        <w:gridCol w:w="1559"/>
        <w:gridCol w:w="1560"/>
        <w:tblGridChange w:id="0">
          <w:tblGrid>
            <w:gridCol w:w="1559"/>
            <w:gridCol w:w="1559"/>
            <w:gridCol w:w="1559"/>
            <w:gridCol w:w="1559"/>
            <w:gridCol w:w="1559"/>
            <w:gridCol w:w="156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KATILIMCILAR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Koordinatörü Prof. Dr. Evren KARAYEL GÖKKAYA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Koordinatörü Prof. Dr. Yeşim ZÜMRÜT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Koordinatörü Doç. Deniz KÜRŞAD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Sekreteri Ş. Oğuz ÜNAL</w:t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Müjde YÜCEL COŞAR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Zehra Evrim KANAT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Şule 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Güliz BAYDEMİR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Dr. Mert YAVAŞCA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Zafer ÖNCÜL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Öğrenci Kalite Güvence Temsilcisi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Minara GULİYEVA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Koordinatörü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Dr. Yeşim ZÜMRÜT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Doç. DR. Deniz KÜRŞAD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Kalite Temsilcisi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Müjde YÜCEL COŞAR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Güliz BAYDEMİR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Zehra Evrim KANAT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Şule 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Dr. Mert YAVAŞCA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Öğr. Üyesi Minara GULİYEVA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Zafer ÖNCÜL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Öğrenci Kalite Güvence Temsilcisi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Ezgi YILDIZ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993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hgg0a5z2k2PT7Iu5dIaz2kI7A==">CgMxLjA4AHIhMUtGdVpPSVRjTVlabkc1SkhKSG5vYW5QUklnRzBLcnJ1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2024-01-15T02:16:00Z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