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FC" w:rsidRPr="007F77F2" w:rsidRDefault="007F77F2" w:rsidP="007F77F2">
      <w:pPr>
        <w:jc w:val="center"/>
        <w:rPr>
          <w:rFonts w:ascii="Arial" w:hAnsi="Arial" w:cs="Arial"/>
          <w:b/>
          <w:sz w:val="24"/>
        </w:rPr>
      </w:pPr>
      <w:r w:rsidRPr="007F77F2">
        <w:rPr>
          <w:rFonts w:ascii="Arial" w:hAnsi="Arial" w:cs="Arial"/>
          <w:b/>
          <w:sz w:val="24"/>
        </w:rPr>
        <w:t>Solubility-of-metal-hydroxides-as-a-function-of-pH</w:t>
      </w:r>
    </w:p>
    <w:p w:rsidR="007F77F2" w:rsidRDefault="007F77F2"/>
    <w:p w:rsidR="007F77F2" w:rsidRDefault="007F77F2">
      <w:r w:rsidRPr="007F77F2">
        <w:rPr>
          <w:noProof/>
          <w:lang w:eastAsia="en-GB"/>
        </w:rPr>
        <w:drawing>
          <wp:inline distT="0" distB="0" distL="0" distR="0">
            <wp:extent cx="3804138" cy="4333461"/>
            <wp:effectExtent l="0" t="0" r="6350" b="0"/>
            <wp:docPr id="1" name="Picture 1" descr="C:\Users\HP\Downloads\Solubility-of-metal-hydroxides-as-a-function-of-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Solubility-of-metal-hydroxides-as-a-function-of-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00" cy="434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B8"/>
    <w:rsid w:val="002410FC"/>
    <w:rsid w:val="00270EB8"/>
    <w:rsid w:val="007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04FF7-31C3-46DB-92E9-049226A8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2018-04-04T11:27:00Z</dcterms:created>
  <dcterms:modified xsi:type="dcterms:W3CDTF">2018-04-04T11:28:00Z</dcterms:modified>
</cp:coreProperties>
</file>