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A" w:rsidRDefault="00FA7D0A" w:rsidP="00FA7D0A">
      <w:pPr>
        <w:ind w:left="3540" w:firstLine="708"/>
        <w:rPr>
          <w:b/>
          <w:bCs/>
        </w:rPr>
      </w:pPr>
      <w:r>
        <w:rPr>
          <w:b/>
          <w:bCs/>
        </w:rPr>
        <w:t>T.C.</w:t>
      </w:r>
    </w:p>
    <w:p w:rsidR="00FA7D0A" w:rsidRDefault="00FA7D0A" w:rsidP="00FA7D0A">
      <w:pPr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FA7D0A" w:rsidRDefault="00FA7D0A" w:rsidP="00FA7D0A">
      <w:pPr>
        <w:jc w:val="center"/>
        <w:rPr>
          <w:b/>
          <w:bCs/>
        </w:rPr>
      </w:pPr>
      <w:r>
        <w:rPr>
          <w:b/>
          <w:bCs/>
        </w:rPr>
        <w:t>TIP FAKÜLTESİ</w:t>
      </w:r>
    </w:p>
    <w:p w:rsidR="00FA7D0A" w:rsidRDefault="00FA7D0A" w:rsidP="00FA7D0A">
      <w:pPr>
        <w:jc w:val="center"/>
        <w:rPr>
          <w:b/>
          <w:bCs/>
        </w:rPr>
      </w:pPr>
      <w:r>
        <w:rPr>
          <w:b/>
          <w:bCs/>
        </w:rPr>
        <w:t>FAKÜLTE KURULU KARARI</w:t>
      </w:r>
    </w:p>
    <w:p w:rsidR="00FA7D0A" w:rsidRDefault="00FA7D0A" w:rsidP="00FA7D0A">
      <w:pPr>
        <w:jc w:val="both"/>
      </w:pPr>
    </w:p>
    <w:p w:rsidR="00FA7D0A" w:rsidRDefault="00FA7D0A" w:rsidP="00FA7D0A">
      <w:pPr>
        <w:pStyle w:val="Balk1"/>
        <w:pBdr>
          <w:bottom w:val="single" w:sz="12" w:space="1" w:color="auto"/>
        </w:pBdr>
        <w:jc w:val="both"/>
      </w:pPr>
      <w:r>
        <w:t>TOPLANTI TARİHİ</w:t>
      </w:r>
      <w:r>
        <w:tab/>
        <w:t xml:space="preserve">: </w:t>
      </w:r>
      <w:proofErr w:type="gramStart"/>
      <w:r>
        <w:t>05/05/2020</w:t>
      </w:r>
      <w:proofErr w:type="gramEnd"/>
    </w:p>
    <w:p w:rsidR="00FA7D0A" w:rsidRDefault="00FA7D0A" w:rsidP="00FA7D0A">
      <w:pPr>
        <w:pStyle w:val="Balk1"/>
        <w:pBdr>
          <w:bottom w:val="single" w:sz="12" w:space="1" w:color="auto"/>
        </w:pBdr>
        <w:jc w:val="both"/>
      </w:pPr>
      <w:r>
        <w:t>TOPLANTI SAYISI</w:t>
      </w:r>
      <w:r>
        <w:tab/>
      </w:r>
      <w:r>
        <w:tab/>
        <w:t>: 02</w:t>
      </w:r>
      <w:r>
        <w:tab/>
      </w:r>
    </w:p>
    <w:p w:rsidR="00FA7D0A" w:rsidRDefault="00FA7D0A" w:rsidP="00FA7D0A">
      <w:pPr>
        <w:ind w:firstLine="708"/>
        <w:jc w:val="both"/>
      </w:pPr>
      <w:r>
        <w:t xml:space="preserve">Fakülte Kurulu, </w:t>
      </w:r>
      <w:proofErr w:type="gramStart"/>
      <w:r>
        <w:t>05/05/2020</w:t>
      </w:r>
      <w:proofErr w:type="gramEnd"/>
      <w:r>
        <w:t xml:space="preserve"> Salı günü saat 14:00’da Dekan Prof. Dr. Tamer DEMİR Başkanlığında toplanmış olup, aşağıdaki kararları almıştır.</w:t>
      </w:r>
    </w:p>
    <w:p w:rsidR="00FA7D0A" w:rsidRDefault="00FA7D0A" w:rsidP="00FA7D0A">
      <w:pPr>
        <w:ind w:firstLine="708"/>
        <w:jc w:val="both"/>
        <w:rPr>
          <w:b/>
        </w:rPr>
      </w:pPr>
    </w:p>
    <w:p w:rsidR="00FA7D0A" w:rsidRDefault="00FA7D0A" w:rsidP="00FA7D0A">
      <w:pPr>
        <w:ind w:firstLine="708"/>
        <w:jc w:val="both"/>
      </w:pPr>
      <w:bookmarkStart w:id="0" w:name="_GoBack"/>
      <w:bookmarkEnd w:id="0"/>
    </w:p>
    <w:p w:rsidR="00FA7D0A" w:rsidRDefault="00FA7D0A" w:rsidP="00FA7D0A">
      <w:pPr>
        <w:ind w:firstLine="708"/>
        <w:jc w:val="both"/>
        <w:rPr>
          <w:b/>
          <w:color w:val="222222"/>
          <w:shd w:val="clear" w:color="auto" w:fill="FFFFFF"/>
        </w:rPr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2: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 xml:space="preserve">toplantısında alınan karar gereği; Eğitimlerin kalan kısmını Fakültemizde tamamlamak isteyen </w:t>
      </w:r>
      <w:proofErr w:type="spellStart"/>
      <w:r>
        <w:t>intör</w:t>
      </w:r>
      <w:r w:rsidR="002628B9">
        <w:t>n</w:t>
      </w:r>
      <w:proofErr w:type="spellEnd"/>
      <w:r w:rsidR="002628B9">
        <w:t xml:space="preserve"> öğrencilerimizin 15 Haziran-14</w:t>
      </w:r>
      <w:r>
        <w:t xml:space="preserve"> Temmuz 2020 tarihleri arasında tamamlamalarına,</w:t>
      </w:r>
    </w:p>
    <w:p w:rsidR="00FA7D0A" w:rsidRDefault="00FA7D0A" w:rsidP="00FA7D0A">
      <w:pPr>
        <w:jc w:val="both"/>
        <w:rPr>
          <w:b/>
          <w:color w:val="222222"/>
          <w:shd w:val="clear" w:color="auto" w:fill="FFFFFF"/>
        </w:rPr>
      </w:pPr>
    </w:p>
    <w:p w:rsidR="00FA7D0A" w:rsidRDefault="00FA7D0A" w:rsidP="00FA7D0A">
      <w:pPr>
        <w:ind w:firstLine="708"/>
        <w:jc w:val="both"/>
      </w:pPr>
      <w:proofErr w:type="gramStart"/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3: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 xml:space="preserve">toplantısında alınan karar gereği; </w:t>
      </w:r>
      <w:proofErr w:type="spellStart"/>
      <w:r>
        <w:t>intörnlük</w:t>
      </w:r>
      <w:proofErr w:type="spellEnd"/>
      <w:r>
        <w:t xml:space="preserve"> eğitimlerini Fakültemizde tamamlamak isteyen Fakültemiz dışından talep bildiren öğrencilerin 5 Mayıs 2020 tarihinden sonra yapılacak duyuru ile başvuruların başlamas</w:t>
      </w:r>
      <w:r w:rsidR="002628B9">
        <w:t>ına ve eğitimlerin 15 Haziran-14</w:t>
      </w:r>
      <w:r>
        <w:t xml:space="preserve"> Temmuz 2020 tarihleri arasında Hastanemizde hali hazırdaki aktif birimlerde yapılmasına,</w:t>
      </w:r>
      <w:proofErr w:type="gramEnd"/>
    </w:p>
    <w:p w:rsidR="00FA7D0A" w:rsidRDefault="00FA7D0A" w:rsidP="00FA7D0A">
      <w:pPr>
        <w:ind w:firstLine="708"/>
        <w:jc w:val="both"/>
      </w:pPr>
    </w:p>
    <w:p w:rsidR="00FA7D0A" w:rsidRDefault="00FA7D0A" w:rsidP="00FA7D0A">
      <w:pPr>
        <w:ind w:firstLine="708"/>
        <w:jc w:val="both"/>
      </w:pPr>
      <w:proofErr w:type="gramStart"/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4: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 xml:space="preserve">toplantısında alınan karar gereği; </w:t>
      </w:r>
      <w:proofErr w:type="spellStart"/>
      <w:r>
        <w:t>intörn</w:t>
      </w:r>
      <w:proofErr w:type="spellEnd"/>
      <w:r>
        <w:t xml:space="preserve"> eğitimlerini Fakültemiz dışında tamamlayacak öğrencilerin bu eğitime başlayabilmesi için; hangi kurumda eğitime devam etmek istediklerinin bildirilmesine, karşı kurumdan kabul yazısının Fakültemize iletilmesine ve ilgili eğitim dilimi </w:t>
      </w:r>
      <w:proofErr w:type="spellStart"/>
      <w:r>
        <w:t>intörn</w:t>
      </w:r>
      <w:proofErr w:type="spellEnd"/>
      <w:r>
        <w:t xml:space="preserve"> karnesinin bu kurum eğiticileri tarafından doldurulmasına,</w:t>
      </w:r>
      <w:proofErr w:type="gramEnd"/>
    </w:p>
    <w:p w:rsidR="00FA7D0A" w:rsidRDefault="00FA7D0A" w:rsidP="00FA7D0A">
      <w:pPr>
        <w:ind w:firstLine="708"/>
        <w:jc w:val="both"/>
        <w:rPr>
          <w:b/>
          <w:color w:val="222222"/>
          <w:shd w:val="clear" w:color="auto" w:fill="FFFFFF"/>
        </w:rPr>
      </w:pPr>
    </w:p>
    <w:p w:rsidR="00FA7D0A" w:rsidRDefault="00FA7D0A" w:rsidP="00FA7D0A">
      <w:pPr>
        <w:ind w:firstLine="708"/>
        <w:jc w:val="both"/>
        <w:rPr>
          <w:b/>
          <w:color w:val="222222"/>
          <w:shd w:val="clear" w:color="auto" w:fill="FFFFFF"/>
        </w:rPr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5: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 xml:space="preserve">toplantısında alınan karar gereği; </w:t>
      </w:r>
      <w:proofErr w:type="spellStart"/>
      <w:r>
        <w:t>Erasmus</w:t>
      </w:r>
      <w:proofErr w:type="spellEnd"/>
      <w:r>
        <w:t xml:space="preserve"> öğrencilerinin uzaktan eğitim sürecinin devam etmesine ve yaz dönemi için yapılacak eğitim programı ile uygulama eğitimleri ve eksik kalan diğer eğitimlerinin tamamlanmasına,</w:t>
      </w:r>
    </w:p>
    <w:p w:rsidR="00FA7D0A" w:rsidRDefault="00FA7D0A" w:rsidP="00FA7D0A">
      <w:pPr>
        <w:jc w:val="both"/>
        <w:rPr>
          <w:b/>
          <w:color w:val="222222"/>
          <w:shd w:val="clear" w:color="auto" w:fill="FFFFFF"/>
        </w:rPr>
      </w:pPr>
    </w:p>
    <w:p w:rsidR="00FA7D0A" w:rsidRDefault="00FA7D0A" w:rsidP="00FA7D0A">
      <w:pPr>
        <w:ind w:firstLine="708"/>
        <w:jc w:val="both"/>
        <w:rPr>
          <w:b/>
          <w:color w:val="222222"/>
          <w:shd w:val="clear" w:color="auto" w:fill="FFFFFF"/>
        </w:rPr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6: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 xml:space="preserve">toplantısında alınan karar gereği; </w:t>
      </w:r>
      <w:proofErr w:type="spellStart"/>
      <w:r>
        <w:t>intörn</w:t>
      </w:r>
      <w:proofErr w:type="spellEnd"/>
      <w:r>
        <w:t xml:space="preserve"> öğrencilerimizin mezuniyet sonrasında eğitim açısından kendini yetersiz gören öğrencilerin diledikleri süre zarfında e</w:t>
      </w:r>
      <w:r w:rsidR="00797909">
        <w:t>ksikl</w:t>
      </w:r>
      <w:r w:rsidR="00CC48BB">
        <w:t xml:space="preserve">iklerini giderebilme amacı </w:t>
      </w:r>
      <w:proofErr w:type="gramStart"/>
      <w:r w:rsidR="00CC48BB">
        <w:t>ile,</w:t>
      </w:r>
      <w:proofErr w:type="gramEnd"/>
      <w:r w:rsidR="00CC48BB">
        <w:t xml:space="preserve"> </w:t>
      </w:r>
      <w:r w:rsidR="00797909">
        <w:t xml:space="preserve">Fakültemiz uygulama eğitimi olanaklarından faydalanmalarının </w:t>
      </w:r>
      <w:r>
        <w:t>sağlanmasına,</w:t>
      </w:r>
    </w:p>
    <w:p w:rsidR="00FA7D0A" w:rsidRDefault="00FA7D0A" w:rsidP="00FA7D0A">
      <w:pPr>
        <w:jc w:val="both"/>
        <w:rPr>
          <w:b/>
          <w:color w:val="222222"/>
          <w:shd w:val="clear" w:color="auto" w:fill="FFFFFF"/>
        </w:rPr>
      </w:pPr>
    </w:p>
    <w:p w:rsidR="00CC48BB" w:rsidRDefault="00FA7D0A" w:rsidP="00CC48BB">
      <w:pPr>
        <w:ind w:firstLine="708"/>
        <w:jc w:val="both"/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7:</w:t>
      </w:r>
      <w:r w:rsidRPr="008D11EC">
        <w:t xml:space="preserve"> </w:t>
      </w:r>
      <w:r w:rsidRPr="00F336D2">
        <w:t>Fakültemiz Mezuniye</w:t>
      </w:r>
      <w:r>
        <w:t>t Öncesi Eğitim Komisyonu’nun 27.04.2020</w:t>
      </w:r>
      <w:r w:rsidRPr="00F336D2">
        <w:t xml:space="preserve"> tarihli </w:t>
      </w:r>
      <w:r>
        <w:t>toplantısında alınan karar gereği; TEPDAD önerileri doğrultusunda eğitim içerik ve materyallerinin zenginleştirilmesine ve öğretim üyelerinin vakit buldukları durumlarda görüntülü (</w:t>
      </w:r>
      <w:r w:rsidR="00CC48BB">
        <w:t>kayıtlı video) ders yapmalarına</w:t>
      </w:r>
    </w:p>
    <w:p w:rsidR="006D76D8" w:rsidRPr="00CC48BB" w:rsidRDefault="0062746C" w:rsidP="00CC48BB">
      <w:pPr>
        <w:ind w:firstLine="708"/>
        <w:jc w:val="both"/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8:</w:t>
      </w:r>
      <w:r w:rsidR="009A044F">
        <w:rPr>
          <w:b/>
        </w:rPr>
        <w:t xml:space="preserve"> </w:t>
      </w:r>
      <w:r w:rsidR="009A044F">
        <w:rPr>
          <w:rFonts w:eastAsiaTheme="minorHAnsi"/>
          <w:lang w:eastAsia="en-US"/>
        </w:rPr>
        <w:t>Yükseköğretim Kurulu Başkanlığını</w:t>
      </w:r>
      <w:r w:rsidR="0007301B">
        <w:rPr>
          <w:rFonts w:eastAsiaTheme="minorHAnsi"/>
          <w:lang w:eastAsia="en-US"/>
        </w:rPr>
        <w:t xml:space="preserve">n 24.04.2020 tarihli ve </w:t>
      </w:r>
      <w:proofErr w:type="gramStart"/>
      <w:r w:rsidR="009A044F">
        <w:rPr>
          <w:rFonts w:eastAsiaTheme="minorHAnsi"/>
          <w:lang w:eastAsia="en-US"/>
        </w:rPr>
        <w:t>75850160</w:t>
      </w:r>
      <w:proofErr w:type="gramEnd"/>
      <w:r w:rsidR="009A044F">
        <w:rPr>
          <w:rFonts w:eastAsiaTheme="minorHAnsi"/>
          <w:lang w:eastAsia="en-US"/>
        </w:rPr>
        <w:t>-104.01.02.01- E.28286 sayılı yazısı okundu.</w:t>
      </w:r>
    </w:p>
    <w:p w:rsidR="006D76D8" w:rsidRDefault="006D76D8" w:rsidP="006D76D8">
      <w:pPr>
        <w:autoSpaceDE w:val="0"/>
        <w:autoSpaceDN w:val="0"/>
        <w:adjustRightInd w:val="0"/>
        <w:ind w:firstLine="708"/>
        <w:jc w:val="both"/>
      </w:pPr>
      <w:r>
        <w:t xml:space="preserve">Yeni </w:t>
      </w:r>
      <w:proofErr w:type="spellStart"/>
      <w:r>
        <w:t>Corona</w:t>
      </w:r>
      <w:proofErr w:type="spellEnd"/>
      <w:r>
        <w:t xml:space="preserve"> Virüs (COVİD-19) salgını nedeniyle 16.03.2020 </w:t>
      </w:r>
      <w:proofErr w:type="gramStart"/>
      <w:r>
        <w:t>tarihinde  eğitime</w:t>
      </w:r>
      <w:proofErr w:type="gramEnd"/>
      <w:r>
        <w:t xml:space="preserve"> ara verildiğinden,   bu tarihten sonra yapılamayan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 xml:space="preserve">) </w:t>
      </w:r>
      <w:r w:rsidR="00F05563">
        <w:t>kalan stajlarının 15 H</w:t>
      </w:r>
      <w:r w:rsidR="002628B9">
        <w:t>aziran 2020 - 14</w:t>
      </w:r>
      <w:r>
        <w:t xml:space="preserve"> </w:t>
      </w:r>
      <w:r w:rsidR="002628B9">
        <w:t>T</w:t>
      </w:r>
      <w:r>
        <w:t xml:space="preserve">emmuz 2020 tarihleri arasında yapılmak üzere, yeniden belirlenen 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>)  staj sürelerinin aşağıdaki şekliyle kabul edilmesine,</w:t>
      </w:r>
    </w:p>
    <w:p w:rsidR="006D76D8" w:rsidRDefault="006D76D8" w:rsidP="006D76D8">
      <w:pPr>
        <w:autoSpaceDE w:val="0"/>
        <w:autoSpaceDN w:val="0"/>
        <w:adjustRightInd w:val="0"/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76D8" w:rsidRPr="008F20F5" w:rsidTr="006D76D8">
        <w:tc>
          <w:tcPr>
            <w:tcW w:w="2303" w:type="dxa"/>
          </w:tcPr>
          <w:p w:rsidR="006D76D8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rPr>
                <w:rFonts w:eastAsiaTheme="minorHAnsi"/>
                <w:lang w:eastAsia="en-US"/>
              </w:rPr>
              <w:lastRenderedPageBreak/>
              <w:t>Sıra No</w:t>
            </w:r>
          </w:p>
        </w:tc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20F5">
              <w:rPr>
                <w:rFonts w:eastAsiaTheme="minorHAnsi"/>
                <w:lang w:eastAsia="en-US"/>
              </w:rPr>
              <w:t>Staj Eğitimi Veren</w:t>
            </w:r>
          </w:p>
          <w:p w:rsidR="006D76D8" w:rsidRPr="008F20F5" w:rsidRDefault="001961FC" w:rsidP="00196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20F5">
              <w:rPr>
                <w:rFonts w:eastAsiaTheme="minorHAnsi"/>
                <w:lang w:eastAsia="en-US"/>
              </w:rPr>
              <w:t>Anabilim Dalı</w:t>
            </w:r>
          </w:p>
        </w:tc>
        <w:tc>
          <w:tcPr>
            <w:tcW w:w="2303" w:type="dxa"/>
          </w:tcPr>
          <w:p w:rsidR="006D76D8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rPr>
                <w:rFonts w:eastAsiaTheme="minorHAnsi"/>
                <w:lang w:eastAsia="en-US"/>
              </w:rPr>
              <w:t>Eski Staj Süresi</w:t>
            </w:r>
          </w:p>
        </w:tc>
        <w:tc>
          <w:tcPr>
            <w:tcW w:w="2303" w:type="dxa"/>
          </w:tcPr>
          <w:p w:rsidR="006D76D8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rPr>
                <w:rFonts w:eastAsiaTheme="minorHAnsi"/>
                <w:lang w:eastAsia="en-US"/>
              </w:rPr>
              <w:t>Yeni Staj Süresi</w:t>
            </w:r>
          </w:p>
        </w:tc>
      </w:tr>
      <w:tr w:rsidR="006D76D8" w:rsidRPr="008F20F5" w:rsidTr="006D76D8">
        <w:tc>
          <w:tcPr>
            <w:tcW w:w="2303" w:type="dxa"/>
          </w:tcPr>
          <w:p w:rsidR="006D76D8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1</w:t>
            </w:r>
          </w:p>
        </w:tc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20F5">
              <w:rPr>
                <w:rFonts w:eastAsiaTheme="minorHAnsi"/>
                <w:lang w:eastAsia="en-US"/>
              </w:rPr>
              <w:t>Çocuk Sağlığı ve</w:t>
            </w:r>
          </w:p>
          <w:p w:rsidR="006D76D8" w:rsidRPr="008F20F5" w:rsidRDefault="001961FC" w:rsidP="001961FC">
            <w:pPr>
              <w:autoSpaceDE w:val="0"/>
              <w:autoSpaceDN w:val="0"/>
              <w:adjustRightInd w:val="0"/>
              <w:jc w:val="both"/>
            </w:pPr>
            <w:r w:rsidRPr="008F20F5">
              <w:rPr>
                <w:rFonts w:eastAsiaTheme="minorHAnsi"/>
                <w:lang w:eastAsia="en-US"/>
              </w:rPr>
              <w:t>Hastalıkları</w:t>
            </w:r>
          </w:p>
        </w:tc>
        <w:tc>
          <w:tcPr>
            <w:tcW w:w="2303" w:type="dxa"/>
          </w:tcPr>
          <w:p w:rsidR="006D76D8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8 Hafta</w:t>
            </w:r>
          </w:p>
        </w:tc>
        <w:tc>
          <w:tcPr>
            <w:tcW w:w="2303" w:type="dxa"/>
          </w:tcPr>
          <w:p w:rsidR="006D76D8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2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2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İç Hastalıkları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8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2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3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Acil Tıp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8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2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4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Genel Cerrahi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4 Hafta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1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5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Ruh Sağlığı ve Hastalıkları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4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1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6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Kadın Hastalıkları ve Doğum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4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1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7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Aile Hekimliği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4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1 Hafta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8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Halk Sağlığı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6 Hafta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7 (Yedi) İş Günü</w:t>
            </w:r>
          </w:p>
        </w:tc>
      </w:tr>
      <w:tr w:rsidR="001961FC" w:rsidRPr="008F20F5" w:rsidTr="006D76D8">
        <w:tc>
          <w:tcPr>
            <w:tcW w:w="2303" w:type="dxa"/>
          </w:tcPr>
          <w:p w:rsidR="001961FC" w:rsidRPr="008F20F5" w:rsidRDefault="001961FC" w:rsidP="001961FC">
            <w:pPr>
              <w:autoSpaceDE w:val="0"/>
              <w:autoSpaceDN w:val="0"/>
              <w:adjustRightInd w:val="0"/>
              <w:jc w:val="center"/>
            </w:pPr>
            <w:r w:rsidRPr="008F20F5">
              <w:t>9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Adli Tıp</w:t>
            </w:r>
          </w:p>
        </w:tc>
        <w:tc>
          <w:tcPr>
            <w:tcW w:w="2303" w:type="dxa"/>
          </w:tcPr>
          <w:p w:rsidR="001961FC" w:rsidRPr="008F20F5" w:rsidRDefault="001961FC" w:rsidP="006D76D8">
            <w:pPr>
              <w:autoSpaceDE w:val="0"/>
              <w:autoSpaceDN w:val="0"/>
              <w:adjustRightInd w:val="0"/>
              <w:jc w:val="both"/>
            </w:pPr>
            <w:r w:rsidRPr="008F20F5">
              <w:t>2 Hafta</w:t>
            </w:r>
          </w:p>
        </w:tc>
        <w:tc>
          <w:tcPr>
            <w:tcW w:w="2303" w:type="dxa"/>
          </w:tcPr>
          <w:p w:rsidR="001961FC" w:rsidRPr="008F20F5" w:rsidRDefault="001961FC" w:rsidP="00874A0C">
            <w:pPr>
              <w:autoSpaceDE w:val="0"/>
              <w:autoSpaceDN w:val="0"/>
              <w:adjustRightInd w:val="0"/>
              <w:jc w:val="both"/>
            </w:pPr>
            <w:r w:rsidRPr="008F20F5">
              <w:t>3 (Üç) İş Günü</w:t>
            </w:r>
          </w:p>
        </w:tc>
      </w:tr>
    </w:tbl>
    <w:p w:rsidR="00FA7D0A" w:rsidRDefault="00FA7D0A" w:rsidP="006D76D8">
      <w:pPr>
        <w:autoSpaceDE w:val="0"/>
        <w:autoSpaceDN w:val="0"/>
        <w:adjustRightInd w:val="0"/>
        <w:jc w:val="both"/>
      </w:pPr>
    </w:p>
    <w:p w:rsidR="006D76D8" w:rsidRDefault="006D76D8" w:rsidP="006D76D8">
      <w:pPr>
        <w:autoSpaceDE w:val="0"/>
        <w:autoSpaceDN w:val="0"/>
        <w:adjustRightInd w:val="0"/>
        <w:ind w:firstLine="708"/>
        <w:jc w:val="both"/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>9:</w:t>
      </w:r>
      <w:r w:rsidRPr="006D76D8">
        <w:t xml:space="preserve"> </w:t>
      </w:r>
      <w:r>
        <w:t xml:space="preserve">Yeni </w:t>
      </w:r>
      <w:proofErr w:type="spellStart"/>
      <w:r>
        <w:t>Corona</w:t>
      </w:r>
      <w:proofErr w:type="spellEnd"/>
      <w:r>
        <w:t xml:space="preserve"> Virüs (COVİD-19) salgını nedeniyle 16.03.2020 </w:t>
      </w:r>
      <w:proofErr w:type="gramStart"/>
      <w:r>
        <w:t>tarihinde  eğitime</w:t>
      </w:r>
      <w:proofErr w:type="gramEnd"/>
      <w:r>
        <w:t xml:space="preserve"> ara verildiğinden,   bu tarihten sonra yapılamayan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 xml:space="preserve">) </w:t>
      </w:r>
      <w:r w:rsidR="00F05563">
        <w:t>stajlarının 15 H</w:t>
      </w:r>
      <w:r w:rsidR="002628B9">
        <w:t>aziran 2020 - 14</w:t>
      </w:r>
      <w:r>
        <w:t xml:space="preserve"> </w:t>
      </w:r>
      <w:r w:rsidR="002628B9">
        <w:t>T</w:t>
      </w:r>
      <w:r>
        <w:t xml:space="preserve">emmuz 2020 tarihleri arasında yapılmak üzere yeniden belirlenen 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 xml:space="preserve">)  staj sürelerine uygun hazırlanan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>) eğitim programl</w:t>
      </w:r>
      <w:r w:rsidR="00C7018A">
        <w:t>arının ekteki şekliyle kabulüne,</w:t>
      </w:r>
    </w:p>
    <w:p w:rsidR="00C7018A" w:rsidRDefault="00C7018A" w:rsidP="006D76D8">
      <w:pPr>
        <w:autoSpaceDE w:val="0"/>
        <w:autoSpaceDN w:val="0"/>
        <w:adjustRightInd w:val="0"/>
        <w:ind w:firstLine="708"/>
        <w:jc w:val="both"/>
      </w:pPr>
    </w:p>
    <w:p w:rsidR="006D76D8" w:rsidRDefault="00C7018A" w:rsidP="00C7018A">
      <w:pPr>
        <w:autoSpaceDE w:val="0"/>
        <w:autoSpaceDN w:val="0"/>
        <w:adjustRightInd w:val="0"/>
        <w:ind w:firstLine="708"/>
        <w:jc w:val="both"/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 xml:space="preserve">10: </w:t>
      </w:r>
      <w:r>
        <w:t xml:space="preserve">Yeni </w:t>
      </w:r>
      <w:proofErr w:type="spellStart"/>
      <w:r>
        <w:t>Corona</w:t>
      </w:r>
      <w:proofErr w:type="spellEnd"/>
      <w:r>
        <w:t xml:space="preserve"> Virüs (COVİD-19) salgını nedeniyle eğitime ara verilen 16.03.2020 tarihinden sonra eksik kalan </w:t>
      </w:r>
      <w:proofErr w:type="spellStart"/>
      <w:r>
        <w:t>önhekimlik</w:t>
      </w:r>
      <w:proofErr w:type="spellEnd"/>
      <w:r>
        <w:t xml:space="preserve"> uygulama dilimlerinin </w:t>
      </w:r>
      <w:proofErr w:type="gramStart"/>
      <w:r>
        <w:t>telafisi  15</w:t>
      </w:r>
      <w:proofErr w:type="gramEnd"/>
      <w:r>
        <w:t xml:space="preserve"> haziran 2020 - 14 temmuz 2020 tarihleri arasında yapılacağından, söz konusu tarihe kadar eksik </w:t>
      </w:r>
      <w:proofErr w:type="spellStart"/>
      <w:r>
        <w:t>önhekimlik</w:t>
      </w:r>
      <w:proofErr w:type="spellEnd"/>
      <w:r>
        <w:t xml:space="preserve"> uygulama dilimlerini  22.04.2020 tarihli Yükseköğretim Yürütme Kurulu toplantısında alınan kararlar kapsamında yer alan sağlık kuruluşlarından hangisinde  alacağına dair herhangi bir başvuru yapmayan </w:t>
      </w:r>
      <w:proofErr w:type="spellStart"/>
      <w:r>
        <w:t>önhekim</w:t>
      </w:r>
      <w:proofErr w:type="spellEnd"/>
      <w:r>
        <w:t xml:space="preserve"> (</w:t>
      </w:r>
      <w:proofErr w:type="spellStart"/>
      <w:r>
        <w:t>intörn</w:t>
      </w:r>
      <w:proofErr w:type="spellEnd"/>
      <w:r>
        <w:t xml:space="preserve">)  öğrencilerin Çanakkale </w:t>
      </w:r>
      <w:proofErr w:type="spellStart"/>
      <w:r>
        <w:t>Onsekiz</w:t>
      </w:r>
      <w:proofErr w:type="spellEnd"/>
      <w:r>
        <w:t xml:space="preserve"> Mart Üniversitesi Tıp Fakültesi Eğitim ve Sınav Yönetmeliği’ </w:t>
      </w:r>
      <w:proofErr w:type="spellStart"/>
      <w:r>
        <w:t>nin</w:t>
      </w:r>
      <w:proofErr w:type="spellEnd"/>
      <w:r>
        <w:t xml:space="preserve"> 25. Maddesinin 5. Fıkrası gereği başarısız sayılmalarına ve kalan </w:t>
      </w:r>
      <w:proofErr w:type="spellStart"/>
      <w:r>
        <w:t>önhekimlik</w:t>
      </w:r>
      <w:proofErr w:type="spellEnd"/>
      <w:r>
        <w:t xml:space="preserve"> uygulama dilimlerinin eğitim sürelerine eklenmesine,   </w:t>
      </w:r>
    </w:p>
    <w:p w:rsidR="00C7018A" w:rsidRDefault="00C7018A" w:rsidP="00C7018A">
      <w:pPr>
        <w:autoSpaceDE w:val="0"/>
        <w:autoSpaceDN w:val="0"/>
        <w:adjustRightInd w:val="0"/>
        <w:ind w:firstLine="708"/>
        <w:jc w:val="both"/>
      </w:pPr>
    </w:p>
    <w:p w:rsidR="006D76D8" w:rsidRPr="006D76D8" w:rsidRDefault="006D76D8" w:rsidP="006D76D8">
      <w:pPr>
        <w:autoSpaceDE w:val="0"/>
        <w:autoSpaceDN w:val="0"/>
        <w:adjustRightInd w:val="0"/>
        <w:ind w:firstLine="708"/>
        <w:jc w:val="both"/>
        <w:rPr>
          <w:b/>
        </w:rPr>
      </w:pPr>
      <w:r w:rsidRPr="006D76D8">
        <w:rPr>
          <w:b/>
        </w:rPr>
        <w:t>OY BİRLİĞİ İLE KARAR VERİLDİ.</w:t>
      </w:r>
    </w:p>
    <w:p w:rsidR="00FA7D0A" w:rsidRDefault="00FA7D0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p w:rsidR="00C7018A" w:rsidRDefault="00C7018A" w:rsidP="00FA7D0A">
      <w:pPr>
        <w:jc w:val="both"/>
        <w:rPr>
          <w:b/>
          <w:color w:val="222222"/>
          <w:shd w:val="clear" w:color="auto" w:fill="FFFFFF"/>
        </w:rPr>
      </w:pPr>
    </w:p>
    <w:sectPr w:rsidR="00C7018A" w:rsidSect="0022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D0A"/>
    <w:rsid w:val="0007301B"/>
    <w:rsid w:val="001961FC"/>
    <w:rsid w:val="001D28CD"/>
    <w:rsid w:val="002628B9"/>
    <w:rsid w:val="00286961"/>
    <w:rsid w:val="0062746C"/>
    <w:rsid w:val="006D76D8"/>
    <w:rsid w:val="00710063"/>
    <w:rsid w:val="00744D90"/>
    <w:rsid w:val="00797909"/>
    <w:rsid w:val="007E72C0"/>
    <w:rsid w:val="00870ACE"/>
    <w:rsid w:val="008F20F5"/>
    <w:rsid w:val="009A044F"/>
    <w:rsid w:val="00B34F7D"/>
    <w:rsid w:val="00B62267"/>
    <w:rsid w:val="00C7018A"/>
    <w:rsid w:val="00C965A3"/>
    <w:rsid w:val="00CC48BB"/>
    <w:rsid w:val="00F05563"/>
    <w:rsid w:val="00FA7D0A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7D0A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7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7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7D0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7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7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D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7D0A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7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7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7D0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7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7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D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2020-05-04T11:22:00Z</dcterms:created>
  <dcterms:modified xsi:type="dcterms:W3CDTF">2020-05-08T13:56:00Z</dcterms:modified>
</cp:coreProperties>
</file>